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240" w:rsidRPr="00B254B3" w:rsidRDefault="00FE6240" w:rsidP="00FE6240">
      <w:pPr>
        <w:spacing w:after="0" w:line="360" w:lineRule="auto"/>
        <w:ind w:left="2977"/>
        <w:contextualSpacing/>
        <w:mirrorIndents/>
        <w:jc w:val="both"/>
        <w:rPr>
          <w:rFonts w:ascii="Arial Nova" w:hAnsi="Arial Nova" w:cs="Arial"/>
          <w:b/>
        </w:rPr>
      </w:pPr>
      <w:bookmarkStart w:id="0" w:name="_GoBack"/>
      <w:bookmarkEnd w:id="0"/>
      <w:r w:rsidRPr="00B254B3">
        <w:rPr>
          <w:rFonts w:ascii="Arial Nova" w:hAnsi="Arial Nova" w:cs="Arial"/>
          <w:b/>
        </w:rPr>
        <w:t>Juicio para la Protección de los Derechos Político-Electorales del Ciudadano.</w:t>
      </w:r>
    </w:p>
    <w:p w:rsidR="00FE6240" w:rsidRPr="00B254B3" w:rsidRDefault="00FE6240" w:rsidP="00FE6240">
      <w:pPr>
        <w:spacing w:after="0" w:line="360" w:lineRule="auto"/>
        <w:ind w:left="2977"/>
        <w:contextualSpacing/>
        <w:mirrorIndents/>
        <w:jc w:val="both"/>
        <w:rPr>
          <w:rFonts w:ascii="Arial Nova" w:hAnsi="Arial Nova" w:cs="Arial"/>
          <w:b/>
        </w:rPr>
      </w:pPr>
      <w:r w:rsidRPr="00B254B3">
        <w:rPr>
          <w:rFonts w:ascii="Arial Nova" w:hAnsi="Arial Nova" w:cs="Arial"/>
          <w:b/>
        </w:rPr>
        <w:t xml:space="preserve">Expediente: </w:t>
      </w:r>
      <w:r w:rsidRPr="00B254B3">
        <w:rPr>
          <w:rFonts w:ascii="Arial Nova" w:hAnsi="Arial Nova" w:cs="Arial"/>
        </w:rPr>
        <w:t>TEEA-JDC-</w:t>
      </w:r>
      <w:r w:rsidR="00D157FF" w:rsidRPr="00B254B3">
        <w:rPr>
          <w:rFonts w:ascii="Arial Nova" w:hAnsi="Arial Nova" w:cs="Arial"/>
        </w:rPr>
        <w:t>02</w:t>
      </w:r>
      <w:r w:rsidR="00DE058F">
        <w:rPr>
          <w:rFonts w:ascii="Arial Nova" w:hAnsi="Arial Nova" w:cs="Arial"/>
        </w:rPr>
        <w:t>7</w:t>
      </w:r>
      <w:r w:rsidRPr="00B254B3">
        <w:rPr>
          <w:rFonts w:ascii="Arial Nova" w:hAnsi="Arial Nova" w:cs="Arial"/>
        </w:rPr>
        <w:t>/2019</w:t>
      </w:r>
      <w:r w:rsidR="00FE1099" w:rsidRPr="00B254B3">
        <w:rPr>
          <w:rFonts w:ascii="Arial Nova" w:hAnsi="Arial Nova" w:cs="Arial"/>
        </w:rPr>
        <w:t>.</w:t>
      </w:r>
    </w:p>
    <w:p w:rsidR="00FE6240" w:rsidRPr="00B254B3" w:rsidRDefault="00FE6240" w:rsidP="00FE6240">
      <w:pPr>
        <w:spacing w:after="0" w:line="360" w:lineRule="auto"/>
        <w:ind w:left="2977"/>
        <w:contextualSpacing/>
        <w:mirrorIndents/>
        <w:jc w:val="both"/>
        <w:rPr>
          <w:rFonts w:ascii="Arial Nova" w:hAnsi="Arial Nova" w:cs="Arial"/>
          <w:b/>
        </w:rPr>
      </w:pPr>
      <w:r w:rsidRPr="00B254B3">
        <w:rPr>
          <w:rFonts w:ascii="Arial Nova" w:hAnsi="Arial Nova" w:cs="Arial"/>
          <w:b/>
        </w:rPr>
        <w:t xml:space="preserve">Promovente: </w:t>
      </w:r>
      <w:bookmarkStart w:id="1" w:name="_Hlk4755293"/>
      <w:r w:rsidR="003C3817">
        <w:rPr>
          <w:rFonts w:ascii="Arial Nova" w:hAnsi="Arial Nova" w:cs="Arial"/>
        </w:rPr>
        <w:t>Israel Ortega González</w:t>
      </w:r>
      <w:bookmarkEnd w:id="1"/>
      <w:r w:rsidRPr="00B254B3">
        <w:rPr>
          <w:rFonts w:ascii="Arial Nova" w:hAnsi="Arial Nova" w:cs="Arial"/>
        </w:rPr>
        <w:t xml:space="preserve">. </w:t>
      </w:r>
    </w:p>
    <w:p w:rsidR="00FE6240" w:rsidRPr="00B254B3" w:rsidRDefault="00FE6240" w:rsidP="00FE6240">
      <w:pPr>
        <w:spacing w:after="0" w:line="360" w:lineRule="auto"/>
        <w:ind w:left="2977"/>
        <w:contextualSpacing/>
        <w:mirrorIndents/>
        <w:jc w:val="both"/>
        <w:rPr>
          <w:rFonts w:ascii="Arial Nova" w:hAnsi="Arial Nova" w:cs="Arial"/>
          <w:b/>
        </w:rPr>
      </w:pPr>
      <w:r w:rsidRPr="00B254B3">
        <w:rPr>
          <w:rFonts w:ascii="Arial Nova" w:hAnsi="Arial Nova" w:cs="Arial"/>
          <w:b/>
        </w:rPr>
        <w:t xml:space="preserve">Autoridad Responsable: </w:t>
      </w:r>
      <w:r w:rsidRPr="00B254B3">
        <w:rPr>
          <w:rFonts w:ascii="Arial Nova" w:hAnsi="Arial Nova" w:cs="Arial"/>
        </w:rPr>
        <w:t>C</w:t>
      </w:r>
      <w:r w:rsidR="00AA66F7">
        <w:rPr>
          <w:rFonts w:ascii="Arial Nova" w:hAnsi="Arial Nova" w:cs="Arial"/>
        </w:rPr>
        <w:t xml:space="preserve">omisión </w:t>
      </w:r>
      <w:r w:rsidRPr="00B254B3">
        <w:rPr>
          <w:rFonts w:ascii="Arial Nova" w:hAnsi="Arial Nova" w:cs="Arial"/>
        </w:rPr>
        <w:t>N</w:t>
      </w:r>
      <w:r w:rsidR="00AA66F7">
        <w:rPr>
          <w:rFonts w:ascii="Arial Nova" w:hAnsi="Arial Nova" w:cs="Arial"/>
        </w:rPr>
        <w:t xml:space="preserve">acional de </w:t>
      </w:r>
      <w:r w:rsidR="00D157FF" w:rsidRPr="00B254B3">
        <w:rPr>
          <w:rFonts w:ascii="Arial Nova" w:hAnsi="Arial Nova" w:cs="Arial"/>
        </w:rPr>
        <w:t>H</w:t>
      </w:r>
      <w:r w:rsidR="00AA66F7">
        <w:rPr>
          <w:rFonts w:ascii="Arial Nova" w:hAnsi="Arial Nova" w:cs="Arial"/>
        </w:rPr>
        <w:t xml:space="preserve">onestidad y </w:t>
      </w:r>
      <w:r w:rsidR="00D157FF" w:rsidRPr="00B254B3">
        <w:rPr>
          <w:rFonts w:ascii="Arial Nova" w:hAnsi="Arial Nova" w:cs="Arial"/>
        </w:rPr>
        <w:t>J</w:t>
      </w:r>
      <w:r w:rsidR="00AA66F7">
        <w:rPr>
          <w:rFonts w:ascii="Arial Nova" w:hAnsi="Arial Nova" w:cs="Arial"/>
        </w:rPr>
        <w:t>usticia de MORENA</w:t>
      </w:r>
      <w:r w:rsidRPr="00B254B3">
        <w:rPr>
          <w:rFonts w:ascii="Arial Nova" w:hAnsi="Arial Nova" w:cs="Arial"/>
        </w:rPr>
        <w:t xml:space="preserve"> y otro.</w:t>
      </w:r>
    </w:p>
    <w:p w:rsidR="00FE6240" w:rsidRPr="00B254B3" w:rsidRDefault="00FE6240" w:rsidP="00FE6240">
      <w:pPr>
        <w:spacing w:after="0" w:line="360" w:lineRule="auto"/>
        <w:ind w:left="2977"/>
        <w:contextualSpacing/>
        <w:mirrorIndents/>
        <w:jc w:val="both"/>
        <w:rPr>
          <w:rFonts w:ascii="Arial Nova" w:hAnsi="Arial Nova" w:cs="Arial"/>
          <w:b/>
        </w:rPr>
      </w:pPr>
      <w:r w:rsidRPr="00B254B3">
        <w:rPr>
          <w:rFonts w:ascii="Arial Nova" w:hAnsi="Arial Nova" w:cs="Arial"/>
          <w:b/>
        </w:rPr>
        <w:t xml:space="preserve">Magistrada Ponente: </w:t>
      </w:r>
      <w:r w:rsidR="00AA66F7">
        <w:rPr>
          <w:rFonts w:ascii="Arial Nova" w:hAnsi="Arial Nova" w:cs="Arial"/>
        </w:rPr>
        <w:t>Héctor Salvador Hernández Gallegos.</w:t>
      </w:r>
      <w:r w:rsidRPr="00B254B3">
        <w:rPr>
          <w:rFonts w:ascii="Arial Nova" w:hAnsi="Arial Nova" w:cs="Arial"/>
        </w:rPr>
        <w:t xml:space="preserve"> </w:t>
      </w:r>
    </w:p>
    <w:p w:rsidR="00FE6240" w:rsidRPr="00B254B3" w:rsidRDefault="00FE6240" w:rsidP="00FE6240">
      <w:pPr>
        <w:pStyle w:val="NormalWeb"/>
        <w:spacing w:before="0" w:beforeAutospacing="0" w:after="0" w:afterAutospacing="0" w:line="360" w:lineRule="auto"/>
        <w:ind w:left="-142" w:firstLine="568"/>
        <w:contextualSpacing/>
        <w:mirrorIndents/>
        <w:jc w:val="both"/>
        <w:rPr>
          <w:rFonts w:ascii="Arial Nova" w:hAnsi="Arial Nova" w:cs="Arial"/>
          <w:color w:val="000000"/>
        </w:rPr>
      </w:pPr>
      <w:bookmarkStart w:id="2" w:name="_Hlk499556789"/>
    </w:p>
    <w:p w:rsidR="00FE6240" w:rsidRPr="00B254B3" w:rsidRDefault="00FE6240" w:rsidP="00B254B3">
      <w:pPr>
        <w:pStyle w:val="NormalWeb"/>
        <w:spacing w:before="0" w:beforeAutospacing="0" w:after="0" w:afterAutospacing="0" w:line="360" w:lineRule="auto"/>
        <w:ind w:left="-283" w:right="-283"/>
        <w:contextualSpacing/>
        <w:mirrorIndents/>
        <w:jc w:val="both"/>
        <w:rPr>
          <w:rFonts w:ascii="Arial Nova" w:hAnsi="Arial Nova" w:cs="Arial"/>
          <w:color w:val="000000"/>
        </w:rPr>
      </w:pPr>
      <w:r w:rsidRPr="00B254B3">
        <w:rPr>
          <w:rFonts w:ascii="Arial Nova" w:hAnsi="Arial Nova" w:cs="Arial"/>
          <w:color w:val="000000"/>
        </w:rPr>
        <w:t xml:space="preserve">Aguascalientes, Aguascalientes, a </w:t>
      </w:r>
      <w:r w:rsidR="006C3281">
        <w:rPr>
          <w:rFonts w:ascii="Arial Nova" w:hAnsi="Arial Nova" w:cs="Arial"/>
          <w:color w:val="000000"/>
        </w:rPr>
        <w:t>veintinueve</w:t>
      </w:r>
      <w:r w:rsidRPr="00B254B3">
        <w:rPr>
          <w:rFonts w:ascii="Arial Nova" w:hAnsi="Arial Nova" w:cs="Arial"/>
          <w:color w:val="000000"/>
        </w:rPr>
        <w:t xml:space="preserve"> de marzo de dos mil diecinueve.</w:t>
      </w:r>
    </w:p>
    <w:p w:rsidR="00FE6240" w:rsidRPr="00B254B3" w:rsidRDefault="00FE6240" w:rsidP="00FE6240">
      <w:pPr>
        <w:pStyle w:val="NormalWeb"/>
        <w:spacing w:afterAutospacing="0" w:line="360" w:lineRule="auto"/>
        <w:ind w:left="-283" w:right="-283"/>
        <w:contextualSpacing/>
        <w:mirrorIndents/>
        <w:jc w:val="both"/>
        <w:rPr>
          <w:rFonts w:ascii="Arial Nova" w:hAnsi="Arial Nova" w:cs="Arial"/>
          <w:b/>
          <w:color w:val="000000"/>
        </w:rPr>
      </w:pPr>
    </w:p>
    <w:p w:rsidR="00FE6240" w:rsidRDefault="00FE6240" w:rsidP="00FE6240">
      <w:pPr>
        <w:pStyle w:val="NormalWeb"/>
        <w:spacing w:afterAutospacing="0" w:line="360" w:lineRule="auto"/>
        <w:ind w:left="-283" w:right="-283"/>
        <w:contextualSpacing/>
        <w:mirrorIndents/>
        <w:jc w:val="both"/>
        <w:rPr>
          <w:rFonts w:ascii="Arial Nova" w:hAnsi="Arial Nova" w:cs="Arial"/>
        </w:rPr>
      </w:pPr>
      <w:r w:rsidRPr="00B254B3">
        <w:rPr>
          <w:rFonts w:ascii="Arial Nova" w:hAnsi="Arial Nova" w:cs="Arial"/>
          <w:b/>
          <w:color w:val="000000"/>
        </w:rPr>
        <w:t xml:space="preserve">Sentencia </w:t>
      </w:r>
      <w:r w:rsidR="005D5A9E" w:rsidRPr="00B254B3">
        <w:rPr>
          <w:rFonts w:ascii="Arial Nova" w:hAnsi="Arial Nova" w:cs="Arial"/>
        </w:rPr>
        <w:t xml:space="preserve">por la que se </w:t>
      </w:r>
      <w:r w:rsidR="00B254B3">
        <w:rPr>
          <w:rFonts w:ascii="Arial Nova" w:hAnsi="Arial Nova" w:cs="Arial"/>
          <w:b/>
        </w:rPr>
        <w:t>sobresee</w:t>
      </w:r>
      <w:r w:rsidR="005D5A9E" w:rsidRPr="00B254B3">
        <w:rPr>
          <w:rFonts w:ascii="Arial Nova" w:hAnsi="Arial Nova" w:cs="Arial"/>
          <w:b/>
        </w:rPr>
        <w:t xml:space="preserve"> </w:t>
      </w:r>
      <w:r w:rsidR="005D5A9E" w:rsidRPr="00B254B3">
        <w:rPr>
          <w:rFonts w:ascii="Arial Nova" w:hAnsi="Arial Nova" w:cs="Arial"/>
          <w:color w:val="000000"/>
        </w:rPr>
        <w:t xml:space="preserve">el juicio </w:t>
      </w:r>
      <w:r w:rsidR="005D5A9E" w:rsidRPr="00B254B3">
        <w:rPr>
          <w:rFonts w:ascii="Arial Nova" w:hAnsi="Arial Nova" w:cs="Arial"/>
        </w:rPr>
        <w:t>ciudadano TEEA-JDC-</w:t>
      </w:r>
      <w:r w:rsidR="0023140E" w:rsidRPr="00B254B3">
        <w:rPr>
          <w:rFonts w:ascii="Arial Nova" w:hAnsi="Arial Nova" w:cs="Arial"/>
        </w:rPr>
        <w:t>02</w:t>
      </w:r>
      <w:r w:rsidR="00E6793A">
        <w:rPr>
          <w:rFonts w:ascii="Arial Nova" w:hAnsi="Arial Nova" w:cs="Arial"/>
        </w:rPr>
        <w:t>7</w:t>
      </w:r>
      <w:r w:rsidR="005D5A9E" w:rsidRPr="00B254B3">
        <w:rPr>
          <w:rFonts w:ascii="Arial Nova" w:hAnsi="Arial Nova" w:cs="Arial"/>
        </w:rPr>
        <w:t>/2019</w:t>
      </w:r>
      <w:r w:rsidR="005D5A9E" w:rsidRPr="00B254B3">
        <w:rPr>
          <w:rFonts w:ascii="Arial Nova" w:hAnsi="Arial Nova" w:cs="Arial"/>
          <w:color w:val="000000"/>
        </w:rPr>
        <w:t xml:space="preserve"> </w:t>
      </w:r>
      <w:r w:rsidR="00FE1099" w:rsidRPr="00B254B3">
        <w:rPr>
          <w:rFonts w:ascii="Arial Nova" w:hAnsi="Arial Nova" w:cs="Arial"/>
        </w:rPr>
        <w:t xml:space="preserve">interpuesto por el ciudadano </w:t>
      </w:r>
      <w:r w:rsidR="009C7D9E">
        <w:rPr>
          <w:rFonts w:ascii="Arial Nova" w:hAnsi="Arial Nova" w:cs="Arial"/>
        </w:rPr>
        <w:t>Israel Ortega González</w:t>
      </w:r>
      <w:r w:rsidR="00FE1099" w:rsidRPr="00B254B3">
        <w:rPr>
          <w:rFonts w:ascii="Arial Nova" w:hAnsi="Arial Nova" w:cs="Arial"/>
        </w:rPr>
        <w:t xml:space="preserve">, </w:t>
      </w:r>
      <w:r w:rsidRPr="00B254B3">
        <w:rPr>
          <w:rFonts w:ascii="Arial Nova" w:hAnsi="Arial Nova" w:cs="Arial"/>
        </w:rPr>
        <w:t xml:space="preserve">al actualizarse la causal prevista en el artículo 305, fracción II, del Código Electoral del Estado de Aguascalientes. </w:t>
      </w:r>
    </w:p>
    <w:p w:rsidR="00FE6240" w:rsidRDefault="00FE6240" w:rsidP="009C7D9E">
      <w:pPr>
        <w:pStyle w:val="NormalWeb"/>
        <w:spacing w:before="0" w:beforeAutospacing="0" w:after="0" w:afterAutospacing="0" w:line="360" w:lineRule="auto"/>
        <w:contextualSpacing/>
        <w:mirrorIndents/>
        <w:jc w:val="center"/>
        <w:rPr>
          <w:rFonts w:ascii="Arial Nova" w:hAnsi="Arial Nova" w:cs="Arial"/>
          <w:b/>
          <w:color w:val="000000"/>
          <w:sz w:val="20"/>
          <w:szCs w:val="20"/>
        </w:rPr>
      </w:pPr>
      <w:r w:rsidRPr="00B254B3">
        <w:rPr>
          <w:rFonts w:ascii="Arial Nova" w:hAnsi="Arial Nova" w:cs="Arial"/>
          <w:b/>
          <w:color w:val="000000"/>
          <w:sz w:val="20"/>
          <w:szCs w:val="20"/>
        </w:rPr>
        <w:t>GLOSARIO</w:t>
      </w:r>
    </w:p>
    <w:p w:rsidR="009C7D9E" w:rsidRPr="00B254B3" w:rsidRDefault="009C7D9E" w:rsidP="009C7D9E">
      <w:pPr>
        <w:pStyle w:val="NormalWeb"/>
        <w:spacing w:before="0" w:beforeAutospacing="0" w:after="0" w:afterAutospacing="0" w:line="360" w:lineRule="auto"/>
        <w:contextualSpacing/>
        <w:mirrorIndents/>
        <w:jc w:val="center"/>
        <w:rPr>
          <w:rFonts w:ascii="Arial Nova" w:hAnsi="Arial Nova" w:cs="Arial"/>
          <w:b/>
          <w:color w:val="000000"/>
          <w:sz w:val="20"/>
          <w:szCs w:val="20"/>
        </w:rPr>
      </w:pPr>
    </w:p>
    <w:tbl>
      <w:tblPr>
        <w:tblW w:w="8222" w:type="dxa"/>
        <w:tblInd w:w="-147" w:type="dxa"/>
        <w:tblLook w:val="04A0" w:firstRow="1" w:lastRow="0" w:firstColumn="1" w:lastColumn="0" w:noHBand="0" w:noVBand="1"/>
      </w:tblPr>
      <w:tblGrid>
        <w:gridCol w:w="2794"/>
        <w:gridCol w:w="5428"/>
      </w:tblGrid>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Tribunal:</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Tribunal Electoral del Estado de Aguascalientes.</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MORENA:</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Partido Político MORENA.</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Comité Ejecutivo:</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 xml:space="preserve">Comité Ejecutivo Nacional de MORENA. </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CNE:</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Comisión de Elecciones de MORENA.</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 xml:space="preserve">CNHJ: </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CNE de Honestidad y Justicia de MORENA.</w:t>
            </w:r>
          </w:p>
        </w:tc>
      </w:tr>
      <w:tr w:rsidR="009D5130" w:rsidRPr="00B254B3" w:rsidTr="00FE6240">
        <w:tc>
          <w:tcPr>
            <w:tcW w:w="2794" w:type="dxa"/>
          </w:tcPr>
          <w:p w:rsidR="009D5130" w:rsidRPr="00B254B3" w:rsidRDefault="009D513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C</w:t>
            </w:r>
            <w:r w:rsidR="00E75AD4" w:rsidRPr="00B254B3">
              <w:rPr>
                <w:rFonts w:ascii="Arial Nova" w:hAnsi="Arial Nova" w:cs="Arial"/>
                <w:b/>
                <w:color w:val="000000"/>
                <w:sz w:val="20"/>
                <w:szCs w:val="20"/>
                <w:lang w:eastAsia="en-US"/>
              </w:rPr>
              <w:t>ódigo Electoral</w:t>
            </w:r>
            <w:r w:rsidRPr="00B254B3">
              <w:rPr>
                <w:rFonts w:ascii="Arial Nova" w:hAnsi="Arial Nova" w:cs="Arial"/>
                <w:b/>
                <w:color w:val="000000"/>
                <w:sz w:val="20"/>
                <w:szCs w:val="20"/>
                <w:lang w:eastAsia="en-US"/>
              </w:rPr>
              <w:t>:</w:t>
            </w:r>
          </w:p>
        </w:tc>
        <w:tc>
          <w:tcPr>
            <w:tcW w:w="5428" w:type="dxa"/>
          </w:tcPr>
          <w:p w:rsidR="009D5130" w:rsidRPr="00B254B3" w:rsidRDefault="009D513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Código Electoral del Estado de Aguascalientes</w:t>
            </w:r>
          </w:p>
        </w:tc>
      </w:tr>
      <w:tr w:rsidR="00E75AD4" w:rsidRPr="00B254B3" w:rsidTr="00FE6240">
        <w:tc>
          <w:tcPr>
            <w:tcW w:w="2794" w:type="dxa"/>
          </w:tcPr>
          <w:p w:rsidR="00E75AD4" w:rsidRPr="00B254B3" w:rsidRDefault="00E75AD4"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Reglamento Interior:</w:t>
            </w:r>
          </w:p>
        </w:tc>
        <w:tc>
          <w:tcPr>
            <w:tcW w:w="5428" w:type="dxa"/>
          </w:tcPr>
          <w:p w:rsidR="00E75AD4" w:rsidRPr="00B254B3" w:rsidRDefault="00E75AD4"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Reglamento Interior del Tribunal Electoral del Estado de Aguascalientes.</w:t>
            </w:r>
          </w:p>
        </w:tc>
      </w:tr>
      <w:tr w:rsidR="009D5130" w:rsidRPr="00B254B3" w:rsidTr="00FE6240">
        <w:tc>
          <w:tcPr>
            <w:tcW w:w="2794" w:type="dxa"/>
          </w:tcPr>
          <w:p w:rsidR="009D5130" w:rsidRPr="00B254B3" w:rsidRDefault="009D513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Lineamientos:</w:t>
            </w:r>
          </w:p>
        </w:tc>
        <w:tc>
          <w:tcPr>
            <w:tcW w:w="5428" w:type="dxa"/>
          </w:tcPr>
          <w:p w:rsidR="009D5130" w:rsidRPr="00B254B3" w:rsidRDefault="009D513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Lineamientos para la Tramitación, Sustanciación y Resolución del Juicio para la Protección de los Derechos Político-Electorales del Ciudadano, El Juicio Electoral, y Asuntos Generales, competencia del Tribunal Electoral del Estado de Aguascalientes.</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Promovente:</w:t>
            </w:r>
          </w:p>
        </w:tc>
        <w:tc>
          <w:tcPr>
            <w:tcW w:w="5428" w:type="dxa"/>
          </w:tcPr>
          <w:p w:rsidR="00FE6240" w:rsidRPr="00B254B3" w:rsidRDefault="0023140E"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sz w:val="20"/>
                <w:szCs w:val="20"/>
              </w:rPr>
              <w:t>Francisco Arturo Federico Ávila Anaya</w:t>
            </w:r>
            <w:r w:rsidR="00FE6240" w:rsidRPr="00B254B3">
              <w:rPr>
                <w:rFonts w:ascii="Arial Nova" w:hAnsi="Arial Nova" w:cs="Arial"/>
                <w:color w:val="000000"/>
                <w:sz w:val="20"/>
                <w:szCs w:val="20"/>
                <w:lang w:eastAsia="en-US"/>
              </w:rPr>
              <w:t>.</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Convocatoria:</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 xml:space="preserve">Convocatoria </w:t>
            </w:r>
            <w:r w:rsidRPr="00B254B3">
              <w:rPr>
                <w:rFonts w:ascii="Arial Nova" w:hAnsi="Arial Nova" w:cs="Arial"/>
                <w:sz w:val="20"/>
                <w:szCs w:val="20"/>
              </w:rPr>
              <w:t xml:space="preserve">al proceso de selección interna de candidatos/as para presidentes/as municipales, para ser postulados/as en el proceso electoral 2018/2019 por el partido MORENA en el Estado de Aguascalientes, publicada el diez de enero de dos mil diecinueve. </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t xml:space="preserve">Dictamen: </w:t>
            </w:r>
          </w:p>
        </w:tc>
        <w:tc>
          <w:tcPr>
            <w:tcW w:w="5428" w:type="dxa"/>
          </w:tcPr>
          <w:p w:rsidR="00FE6240" w:rsidRPr="00B254B3"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sz w:val="20"/>
                <w:szCs w:val="20"/>
              </w:rPr>
              <w:t>Dictamen de la CNE de Elecciones sobre el proceso interno de selección de candidato/as para Presidentes Municipales; del Estado de Aguascalientes, para el proceso electoral local 2018-2019.</w:t>
            </w:r>
          </w:p>
        </w:tc>
      </w:tr>
      <w:tr w:rsidR="00FE6240" w:rsidRPr="00B254B3" w:rsidTr="00FE6240">
        <w:tc>
          <w:tcPr>
            <w:tcW w:w="2794" w:type="dxa"/>
          </w:tcPr>
          <w:p w:rsidR="00FE6240" w:rsidRPr="00B254B3" w:rsidRDefault="00FE6240" w:rsidP="009C7D9E">
            <w:pPr>
              <w:pStyle w:val="NormalWeb"/>
              <w:spacing w:before="0" w:beforeAutospacing="0" w:after="0" w:afterAutospacing="0" w:line="360" w:lineRule="auto"/>
              <w:contextualSpacing/>
              <w:mirrorIndents/>
              <w:jc w:val="right"/>
              <w:rPr>
                <w:rFonts w:ascii="Arial Nova" w:hAnsi="Arial Nova" w:cs="Arial"/>
                <w:b/>
                <w:color w:val="000000"/>
                <w:sz w:val="20"/>
                <w:szCs w:val="20"/>
                <w:lang w:eastAsia="en-US"/>
              </w:rPr>
            </w:pPr>
            <w:r w:rsidRPr="00B254B3">
              <w:rPr>
                <w:rFonts w:ascii="Arial Nova" w:hAnsi="Arial Nova" w:cs="Arial"/>
                <w:b/>
                <w:color w:val="000000"/>
                <w:sz w:val="20"/>
                <w:szCs w:val="20"/>
                <w:lang w:eastAsia="en-US"/>
              </w:rPr>
              <w:lastRenderedPageBreak/>
              <w:t>Acuerdo:</w:t>
            </w:r>
          </w:p>
        </w:tc>
        <w:tc>
          <w:tcPr>
            <w:tcW w:w="5428" w:type="dxa"/>
          </w:tcPr>
          <w:p w:rsidR="00FE6240" w:rsidRDefault="00FE6240"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r w:rsidRPr="00B254B3">
              <w:rPr>
                <w:rFonts w:ascii="Arial Nova" w:hAnsi="Arial Nova" w:cs="Arial"/>
                <w:color w:val="000000"/>
                <w:sz w:val="20"/>
                <w:szCs w:val="20"/>
                <w:lang w:eastAsia="en-US"/>
              </w:rPr>
              <w:t xml:space="preserve">Acuerdo de la Comisión Nacional de Elecciones de MORENA sobre el dictamen de la Comisión Nacional de Elecciones sobre el proceso interno de selección de candidatos/as para presidentes municipales; del estado de Aguascalientes, para el Proceso Electoral 2018-2019. </w:t>
            </w:r>
          </w:p>
          <w:p w:rsidR="009C7D9E" w:rsidRPr="00B254B3" w:rsidRDefault="009C7D9E" w:rsidP="009C7D9E">
            <w:pPr>
              <w:pStyle w:val="NormalWeb"/>
              <w:spacing w:before="0" w:beforeAutospacing="0" w:after="0" w:afterAutospacing="0" w:line="360" w:lineRule="auto"/>
              <w:contextualSpacing/>
              <w:mirrorIndents/>
              <w:jc w:val="both"/>
              <w:rPr>
                <w:rFonts w:ascii="Arial Nova" w:hAnsi="Arial Nova" w:cs="Arial"/>
                <w:color w:val="000000"/>
                <w:sz w:val="20"/>
                <w:szCs w:val="20"/>
                <w:lang w:eastAsia="en-US"/>
              </w:rPr>
            </w:pPr>
          </w:p>
        </w:tc>
      </w:tr>
    </w:tbl>
    <w:p w:rsidR="00FE6240" w:rsidRPr="00B254B3" w:rsidRDefault="00FE6240" w:rsidP="009C7D9E">
      <w:pPr>
        <w:pStyle w:val="NormalWeb"/>
        <w:numPr>
          <w:ilvl w:val="0"/>
          <w:numId w:val="3"/>
        </w:numPr>
        <w:tabs>
          <w:tab w:val="left" w:pos="284"/>
        </w:tabs>
        <w:spacing w:before="0" w:beforeAutospacing="0" w:line="360" w:lineRule="auto"/>
        <w:ind w:left="0" w:firstLine="0"/>
        <w:contextualSpacing/>
        <w:mirrorIndents/>
        <w:jc w:val="both"/>
        <w:rPr>
          <w:rFonts w:ascii="Arial Nova" w:hAnsi="Arial Nova" w:cs="Arial"/>
        </w:rPr>
      </w:pPr>
      <w:r w:rsidRPr="00B254B3">
        <w:rPr>
          <w:rFonts w:ascii="Arial Nova" w:hAnsi="Arial Nova" w:cs="Arial"/>
          <w:b/>
          <w:color w:val="000000"/>
        </w:rPr>
        <w:t xml:space="preserve">ANTECEDENTES. </w:t>
      </w:r>
      <w:r w:rsidRPr="00B254B3">
        <w:rPr>
          <w:rFonts w:ascii="Arial Nova" w:hAnsi="Arial Nova" w:cs="Arial"/>
          <w:color w:val="000000"/>
        </w:rPr>
        <w:t xml:space="preserve">Todas las fechas corresponden al año dos mil diecinueve, salvo precisión en contrario. </w:t>
      </w:r>
    </w:p>
    <w:p w:rsidR="00B93F2B" w:rsidRPr="00B254B3" w:rsidRDefault="00B93F2B" w:rsidP="00B254B3">
      <w:pPr>
        <w:pStyle w:val="NormalWeb"/>
        <w:tabs>
          <w:tab w:val="left" w:pos="284"/>
        </w:tabs>
        <w:spacing w:after="0" w:afterAutospacing="0" w:line="360" w:lineRule="auto"/>
        <w:contextualSpacing/>
        <w:mirrorIndents/>
        <w:jc w:val="both"/>
        <w:rPr>
          <w:rFonts w:ascii="Arial Nova" w:hAnsi="Arial Nova" w:cs="Arial"/>
        </w:rPr>
      </w:pPr>
    </w:p>
    <w:p w:rsidR="00FE6240" w:rsidRPr="00B254B3" w:rsidRDefault="00FE6240" w:rsidP="00FE6240">
      <w:pPr>
        <w:pStyle w:val="Prrafodelista"/>
        <w:numPr>
          <w:ilvl w:val="1"/>
          <w:numId w:val="3"/>
        </w:numPr>
        <w:tabs>
          <w:tab w:val="left" w:pos="426"/>
        </w:tabs>
        <w:spacing w:after="160" w:line="360" w:lineRule="auto"/>
        <w:ind w:left="0" w:right="-283" w:firstLine="0"/>
        <w:jc w:val="both"/>
        <w:rPr>
          <w:rFonts w:ascii="Arial Nova" w:hAnsi="Arial Nova" w:cs="Arial"/>
          <w:sz w:val="24"/>
          <w:szCs w:val="24"/>
        </w:rPr>
      </w:pPr>
      <w:r w:rsidRPr="00B254B3">
        <w:rPr>
          <w:rFonts w:ascii="Arial Nova" w:hAnsi="Arial Nova" w:cs="Arial"/>
          <w:b/>
          <w:sz w:val="24"/>
          <w:szCs w:val="24"/>
        </w:rPr>
        <w:t xml:space="preserve"> Publicación de la Convocatoria. </w:t>
      </w:r>
      <w:r w:rsidRPr="00B254B3">
        <w:rPr>
          <w:rFonts w:ascii="Arial Nova" w:hAnsi="Arial Nova" w:cs="Arial"/>
          <w:sz w:val="24"/>
          <w:szCs w:val="24"/>
        </w:rPr>
        <w:t>El diez de enero se publicó la Convocatoria</w:t>
      </w:r>
      <w:r w:rsidRPr="00B254B3">
        <w:rPr>
          <w:rStyle w:val="Refdenotaalpie"/>
          <w:rFonts w:ascii="Arial Nova" w:hAnsi="Arial Nova" w:cs="Arial"/>
          <w:sz w:val="24"/>
          <w:szCs w:val="24"/>
        </w:rPr>
        <w:footnoteReference w:id="1"/>
      </w:r>
      <w:r w:rsidRPr="00B254B3">
        <w:rPr>
          <w:rFonts w:ascii="Arial Nova" w:hAnsi="Arial Nova" w:cs="Arial"/>
          <w:sz w:val="24"/>
          <w:szCs w:val="24"/>
        </w:rPr>
        <w:t xml:space="preserve"> al proceso de selección interna de candidatos/as para presidentes/as municipales, para ser postulados/as en el proceso electoral 2018-2019 por MORENA.</w:t>
      </w:r>
    </w:p>
    <w:p w:rsidR="00FE6240" w:rsidRPr="00B254B3" w:rsidRDefault="00FE6240" w:rsidP="00FE6240">
      <w:pPr>
        <w:pStyle w:val="Prrafodelista"/>
        <w:tabs>
          <w:tab w:val="left" w:pos="426"/>
        </w:tabs>
        <w:spacing w:after="160" w:line="360" w:lineRule="auto"/>
        <w:ind w:left="0" w:right="-283"/>
        <w:jc w:val="both"/>
        <w:rPr>
          <w:rFonts w:ascii="Arial Nova" w:hAnsi="Arial Nova" w:cs="Arial"/>
          <w:sz w:val="24"/>
          <w:szCs w:val="24"/>
        </w:rPr>
      </w:pPr>
    </w:p>
    <w:p w:rsidR="00FE6240" w:rsidRPr="00B254B3" w:rsidRDefault="00FE6240" w:rsidP="00FE6240">
      <w:pPr>
        <w:pStyle w:val="Prrafodelista"/>
        <w:numPr>
          <w:ilvl w:val="1"/>
          <w:numId w:val="3"/>
        </w:numPr>
        <w:tabs>
          <w:tab w:val="left" w:pos="284"/>
          <w:tab w:val="left" w:pos="426"/>
        </w:tabs>
        <w:spacing w:after="160" w:line="360" w:lineRule="auto"/>
        <w:ind w:left="0" w:right="-283" w:firstLine="0"/>
        <w:jc w:val="both"/>
        <w:rPr>
          <w:rFonts w:ascii="Arial Nova" w:hAnsi="Arial Nova" w:cs="Arial"/>
          <w:sz w:val="24"/>
          <w:szCs w:val="24"/>
        </w:rPr>
      </w:pPr>
      <w:r w:rsidRPr="00B254B3">
        <w:rPr>
          <w:rFonts w:ascii="Arial Nova" w:hAnsi="Arial Nova" w:cs="Arial"/>
          <w:b/>
          <w:sz w:val="24"/>
          <w:szCs w:val="24"/>
        </w:rPr>
        <w:t xml:space="preserve"> Fe de erratas a la Convocatoria. </w:t>
      </w:r>
      <w:r w:rsidRPr="00B254B3">
        <w:rPr>
          <w:rFonts w:ascii="Arial Nova" w:hAnsi="Arial Nova" w:cs="Arial"/>
          <w:sz w:val="24"/>
          <w:szCs w:val="24"/>
        </w:rPr>
        <w:t>El ocho de febrero, el Comité Ejecutivo publicó fe de erratas</w:t>
      </w:r>
      <w:r w:rsidRPr="00B254B3">
        <w:rPr>
          <w:rStyle w:val="Refdenotaalpie"/>
          <w:rFonts w:ascii="Arial Nova" w:hAnsi="Arial Nova" w:cs="Arial"/>
          <w:sz w:val="24"/>
          <w:szCs w:val="24"/>
        </w:rPr>
        <w:footnoteReference w:id="2"/>
      </w:r>
      <w:r w:rsidRPr="00B254B3">
        <w:rPr>
          <w:rFonts w:ascii="Arial Nova" w:hAnsi="Arial Nova" w:cs="Arial"/>
          <w:sz w:val="24"/>
          <w:szCs w:val="24"/>
        </w:rPr>
        <w:t xml:space="preserve"> respecto a la Convocatoria, estableciendo que el registro de aspirantes se realizaría ante un representante de la CNE el veintiséis de febrero y que la relación de solicitudes de registro aprobadas se publicaría el cinco de marzo en la página de internet de MORENA, </w:t>
      </w:r>
      <w:hyperlink r:id="rId8" w:history="1">
        <w:r w:rsidRPr="00B254B3">
          <w:rPr>
            <w:rStyle w:val="Hipervnculo"/>
            <w:rFonts w:ascii="Arial Nova" w:hAnsi="Arial Nova" w:cs="Arial"/>
            <w:sz w:val="24"/>
            <w:szCs w:val="24"/>
          </w:rPr>
          <w:t>www.morena.si</w:t>
        </w:r>
      </w:hyperlink>
      <w:r w:rsidRPr="00B254B3">
        <w:rPr>
          <w:rFonts w:ascii="Arial Nova" w:hAnsi="Arial Nova" w:cs="Arial"/>
          <w:sz w:val="24"/>
          <w:szCs w:val="24"/>
        </w:rPr>
        <w:t xml:space="preserve"> </w:t>
      </w:r>
      <w:r w:rsidR="00D0094E">
        <w:rPr>
          <w:rFonts w:ascii="Arial Nova" w:hAnsi="Arial Nova" w:cs="Arial"/>
          <w:sz w:val="24"/>
          <w:szCs w:val="24"/>
        </w:rPr>
        <w:t>.</w:t>
      </w:r>
    </w:p>
    <w:p w:rsidR="00FE6240" w:rsidRPr="00B254B3" w:rsidRDefault="00FE6240" w:rsidP="00FE6240">
      <w:pPr>
        <w:pStyle w:val="Prrafodelista"/>
        <w:spacing w:line="360" w:lineRule="auto"/>
        <w:ind w:left="0"/>
        <w:rPr>
          <w:rFonts w:ascii="Arial Nova" w:hAnsi="Arial Nova" w:cs="Arial"/>
          <w:b/>
          <w:sz w:val="24"/>
          <w:szCs w:val="24"/>
        </w:rPr>
      </w:pPr>
    </w:p>
    <w:p w:rsidR="00FE6240" w:rsidRPr="00B254B3" w:rsidRDefault="00FE6240" w:rsidP="00FE6240">
      <w:pPr>
        <w:pStyle w:val="Prrafodelista"/>
        <w:numPr>
          <w:ilvl w:val="1"/>
          <w:numId w:val="3"/>
        </w:numPr>
        <w:tabs>
          <w:tab w:val="left" w:pos="426"/>
        </w:tabs>
        <w:spacing w:after="160" w:line="360" w:lineRule="auto"/>
        <w:ind w:left="0" w:right="-283" w:firstLine="0"/>
        <w:jc w:val="both"/>
        <w:rPr>
          <w:rFonts w:ascii="Arial Nova" w:hAnsi="Arial Nova" w:cs="Arial"/>
          <w:sz w:val="24"/>
          <w:szCs w:val="24"/>
        </w:rPr>
      </w:pPr>
      <w:r w:rsidRPr="00B254B3">
        <w:rPr>
          <w:rFonts w:ascii="Arial Nova" w:hAnsi="Arial Nova" w:cs="Arial"/>
          <w:b/>
          <w:sz w:val="24"/>
          <w:szCs w:val="24"/>
        </w:rPr>
        <w:t xml:space="preserve"> Registro de aspirantes. </w:t>
      </w:r>
      <w:r w:rsidRPr="00B254B3">
        <w:rPr>
          <w:rFonts w:ascii="Arial Nova" w:hAnsi="Arial Nova" w:cs="Arial"/>
          <w:sz w:val="24"/>
          <w:szCs w:val="24"/>
        </w:rPr>
        <w:t xml:space="preserve">El veintiséis de febrero, se llevó a cabo el registro de los aspirantes a candidaturas de presidentes/as municipales del Estado, por parte de la CNE. </w:t>
      </w:r>
    </w:p>
    <w:p w:rsidR="00FE6240" w:rsidRPr="00B254B3" w:rsidRDefault="00FE6240" w:rsidP="00FE6240">
      <w:pPr>
        <w:pStyle w:val="Prrafodelista"/>
        <w:spacing w:line="360" w:lineRule="auto"/>
        <w:ind w:left="0" w:right="-283"/>
        <w:rPr>
          <w:rFonts w:ascii="Arial Nova" w:hAnsi="Arial Nova" w:cs="Arial"/>
          <w:sz w:val="24"/>
          <w:szCs w:val="24"/>
        </w:rPr>
      </w:pPr>
    </w:p>
    <w:p w:rsidR="00FE6240" w:rsidRDefault="00FE6240" w:rsidP="00FE6240">
      <w:pPr>
        <w:pStyle w:val="Prrafodelista"/>
        <w:numPr>
          <w:ilvl w:val="1"/>
          <w:numId w:val="3"/>
        </w:numPr>
        <w:tabs>
          <w:tab w:val="left" w:pos="142"/>
          <w:tab w:val="left" w:pos="284"/>
          <w:tab w:val="left" w:pos="426"/>
        </w:tabs>
        <w:spacing w:after="160" w:line="360" w:lineRule="auto"/>
        <w:ind w:left="0" w:right="-283" w:firstLine="0"/>
        <w:jc w:val="both"/>
        <w:rPr>
          <w:rFonts w:ascii="Arial Nova" w:hAnsi="Arial Nova" w:cs="Arial"/>
          <w:sz w:val="24"/>
          <w:szCs w:val="24"/>
        </w:rPr>
      </w:pPr>
      <w:r w:rsidRPr="00B254B3">
        <w:rPr>
          <w:rFonts w:ascii="Arial Nova" w:hAnsi="Arial Nova" w:cs="Arial"/>
          <w:b/>
          <w:sz w:val="24"/>
          <w:szCs w:val="24"/>
        </w:rPr>
        <w:t xml:space="preserve"> Emisión y Publicación de dictamen. </w:t>
      </w:r>
      <w:r w:rsidRPr="00B254B3">
        <w:rPr>
          <w:rFonts w:ascii="Arial Nova" w:hAnsi="Arial Nova" w:cs="Arial"/>
          <w:sz w:val="24"/>
          <w:szCs w:val="24"/>
        </w:rPr>
        <w:t>El cuatro de marzo, la CNE emitió el Dictamen</w:t>
      </w:r>
      <w:r w:rsidRPr="00B254B3">
        <w:rPr>
          <w:rStyle w:val="Refdenotaalpie"/>
          <w:rFonts w:ascii="Arial Nova" w:hAnsi="Arial Nova" w:cs="Arial"/>
          <w:sz w:val="24"/>
          <w:szCs w:val="24"/>
        </w:rPr>
        <w:footnoteReference w:id="3"/>
      </w:r>
      <w:r w:rsidRPr="00B254B3">
        <w:rPr>
          <w:rFonts w:ascii="Arial Nova" w:hAnsi="Arial Nova" w:cs="Arial"/>
          <w:sz w:val="24"/>
          <w:szCs w:val="24"/>
        </w:rPr>
        <w:t xml:space="preserve"> por el que dio a conocer la lista de las solicitudes de registro aprobadas de las candidaturas a </w:t>
      </w:r>
      <w:proofErr w:type="gramStart"/>
      <w:r w:rsidRPr="00B254B3">
        <w:rPr>
          <w:rFonts w:ascii="Arial Nova" w:hAnsi="Arial Nova" w:cs="Arial"/>
          <w:sz w:val="24"/>
          <w:szCs w:val="24"/>
        </w:rPr>
        <w:t>Presidentes</w:t>
      </w:r>
      <w:proofErr w:type="gramEnd"/>
      <w:r w:rsidRPr="00B254B3">
        <w:rPr>
          <w:rFonts w:ascii="Arial Nova" w:hAnsi="Arial Nova" w:cs="Arial"/>
          <w:sz w:val="24"/>
          <w:szCs w:val="24"/>
        </w:rPr>
        <w:t xml:space="preserve">/as Municipales del Estado de Aguascalientes, de determinación que se notificó mediante su publicación en la página electrónica de MORENA, el cinco de marzo. </w:t>
      </w:r>
    </w:p>
    <w:p w:rsidR="004553D5" w:rsidRPr="004553D5" w:rsidRDefault="004553D5" w:rsidP="004553D5">
      <w:pPr>
        <w:pStyle w:val="Prrafodelista"/>
        <w:rPr>
          <w:rFonts w:ascii="Arial Nova" w:hAnsi="Arial Nova" w:cs="Arial"/>
          <w:sz w:val="24"/>
          <w:szCs w:val="24"/>
        </w:rPr>
      </w:pPr>
    </w:p>
    <w:p w:rsidR="004553D5" w:rsidRPr="00B254B3" w:rsidRDefault="004553D5" w:rsidP="004553D5">
      <w:pPr>
        <w:pStyle w:val="Prrafodelista"/>
        <w:tabs>
          <w:tab w:val="left" w:pos="142"/>
          <w:tab w:val="left" w:pos="284"/>
          <w:tab w:val="left" w:pos="426"/>
        </w:tabs>
        <w:spacing w:after="160" w:line="360" w:lineRule="auto"/>
        <w:ind w:left="0" w:right="-283"/>
        <w:jc w:val="both"/>
        <w:rPr>
          <w:rFonts w:ascii="Arial Nova" w:hAnsi="Arial Nova" w:cs="Arial"/>
          <w:sz w:val="24"/>
          <w:szCs w:val="24"/>
        </w:rPr>
      </w:pPr>
    </w:p>
    <w:p w:rsidR="00FE6240" w:rsidRDefault="00FE6240" w:rsidP="00FE6240">
      <w:pPr>
        <w:pStyle w:val="Prrafodelista"/>
        <w:numPr>
          <w:ilvl w:val="1"/>
          <w:numId w:val="3"/>
        </w:numPr>
        <w:tabs>
          <w:tab w:val="left" w:pos="426"/>
        </w:tabs>
        <w:spacing w:after="160" w:line="360" w:lineRule="auto"/>
        <w:ind w:left="0" w:right="-283" w:firstLine="0"/>
        <w:jc w:val="both"/>
        <w:rPr>
          <w:rFonts w:ascii="Arial Nova" w:hAnsi="Arial Nova" w:cs="Arial"/>
          <w:sz w:val="24"/>
          <w:szCs w:val="24"/>
        </w:rPr>
      </w:pPr>
      <w:r w:rsidRPr="00B254B3">
        <w:rPr>
          <w:rFonts w:ascii="Arial Nova" w:hAnsi="Arial Nova" w:cs="Arial"/>
          <w:b/>
          <w:sz w:val="24"/>
          <w:szCs w:val="24"/>
        </w:rPr>
        <w:t xml:space="preserve"> Fe de erratas del Dictamen. </w:t>
      </w:r>
      <w:r w:rsidRPr="00B254B3">
        <w:rPr>
          <w:rFonts w:ascii="Arial Nova" w:hAnsi="Arial Nova" w:cs="Arial"/>
          <w:sz w:val="24"/>
          <w:szCs w:val="24"/>
        </w:rPr>
        <w:t>El cinco de marzo se publicó en el sitio web de MORENA la fe de erratas del Dictamen</w:t>
      </w:r>
      <w:r w:rsidRPr="00B254B3">
        <w:rPr>
          <w:rStyle w:val="Refdenotaalpie"/>
          <w:rFonts w:ascii="Arial Nova" w:hAnsi="Arial Nova" w:cs="Arial"/>
          <w:sz w:val="24"/>
          <w:szCs w:val="24"/>
        </w:rPr>
        <w:footnoteReference w:id="4"/>
      </w:r>
      <w:r w:rsidRPr="00B254B3">
        <w:rPr>
          <w:rFonts w:ascii="Arial Nova" w:hAnsi="Arial Nova" w:cs="Arial"/>
          <w:sz w:val="24"/>
          <w:szCs w:val="24"/>
        </w:rPr>
        <w:t xml:space="preserve">, señalando que de una revisión de </w:t>
      </w:r>
      <w:r w:rsidRPr="00B254B3">
        <w:rPr>
          <w:rFonts w:ascii="Arial Nova" w:hAnsi="Arial Nova" w:cs="Arial"/>
          <w:sz w:val="24"/>
          <w:szCs w:val="24"/>
        </w:rPr>
        <w:lastRenderedPageBreak/>
        <w:t xml:space="preserve">la publicación, se había observado la existencia de errores en los municipios de Aguascalientes y San Francisco de los Romo, y que la lista de solicitudes de registro aprobadas para el Ayuntamiento de Aguascalientes, se conformaba por los ciudadanos Manuel de Jesús Bañuelos Hernández, Eulogio Monreal Ávila y Luis Armando Salazar Mora, en tanto que la de San Francisco de los Romo, se conformaba por los ciudadanos Alejandro Mendoza Villalobos, Mario Alberto Sandoval Ruvalcaba y Ma. Guadalupe Martínez Vázquez. </w:t>
      </w:r>
    </w:p>
    <w:p w:rsidR="00FE6240" w:rsidRPr="00B254B3" w:rsidRDefault="00FE6240" w:rsidP="00FE6240">
      <w:pPr>
        <w:pStyle w:val="Prrafodelista"/>
        <w:rPr>
          <w:rFonts w:ascii="Arial Nova" w:hAnsi="Arial Nova" w:cs="Arial"/>
          <w:sz w:val="24"/>
          <w:szCs w:val="24"/>
        </w:rPr>
      </w:pPr>
    </w:p>
    <w:p w:rsidR="00FE6240" w:rsidRDefault="00FE6240" w:rsidP="00FE6240">
      <w:pPr>
        <w:pStyle w:val="Prrafodelista"/>
        <w:numPr>
          <w:ilvl w:val="1"/>
          <w:numId w:val="3"/>
        </w:numPr>
        <w:tabs>
          <w:tab w:val="left" w:pos="426"/>
          <w:tab w:val="left" w:pos="709"/>
        </w:tabs>
        <w:spacing w:after="160" w:line="360" w:lineRule="auto"/>
        <w:ind w:left="0" w:right="-283" w:firstLine="0"/>
        <w:jc w:val="both"/>
        <w:rPr>
          <w:rFonts w:ascii="Arial Nova" w:hAnsi="Arial Nova" w:cs="Arial"/>
          <w:sz w:val="24"/>
          <w:szCs w:val="24"/>
        </w:rPr>
      </w:pPr>
      <w:r w:rsidRPr="00B254B3">
        <w:rPr>
          <w:rFonts w:ascii="Arial Nova" w:hAnsi="Arial Nova" w:cs="Arial"/>
          <w:sz w:val="24"/>
          <w:szCs w:val="24"/>
        </w:rPr>
        <w:t xml:space="preserve"> </w:t>
      </w:r>
      <w:r w:rsidRPr="00B254B3">
        <w:rPr>
          <w:rFonts w:ascii="Arial Nova" w:hAnsi="Arial Nova" w:cs="Arial"/>
          <w:b/>
          <w:sz w:val="24"/>
          <w:szCs w:val="24"/>
        </w:rPr>
        <w:t>Trámite de los juicios ciudadanos</w:t>
      </w:r>
      <w:r w:rsidRPr="00B254B3">
        <w:rPr>
          <w:rFonts w:ascii="Arial Nova" w:hAnsi="Arial Nova" w:cs="Arial"/>
          <w:sz w:val="24"/>
          <w:szCs w:val="24"/>
        </w:rPr>
        <w:t xml:space="preserve">. </w:t>
      </w:r>
      <w:r w:rsidR="00FE1099" w:rsidRPr="00B254B3">
        <w:rPr>
          <w:rFonts w:ascii="Arial Nova" w:hAnsi="Arial Nova" w:cs="Arial"/>
          <w:sz w:val="24"/>
          <w:szCs w:val="24"/>
        </w:rPr>
        <w:t xml:space="preserve">El promovente </w:t>
      </w:r>
      <w:r w:rsidR="00EA1F07" w:rsidRPr="00EA1F07">
        <w:rPr>
          <w:rFonts w:ascii="Arial Nova" w:hAnsi="Arial Nova" w:cs="Arial"/>
          <w:sz w:val="24"/>
          <w:szCs w:val="24"/>
        </w:rPr>
        <w:t xml:space="preserve">Israel Ortega González </w:t>
      </w:r>
      <w:r w:rsidRPr="00B254B3">
        <w:rPr>
          <w:rFonts w:ascii="Arial Nova" w:hAnsi="Arial Nova" w:cs="Arial"/>
          <w:sz w:val="24"/>
          <w:szCs w:val="24"/>
        </w:rPr>
        <w:t xml:space="preserve">interpuso medio de impugnación </w:t>
      </w:r>
      <w:r w:rsidR="00440C83" w:rsidRPr="00B254B3">
        <w:rPr>
          <w:rFonts w:ascii="Arial Nova" w:hAnsi="Arial Nova" w:cs="Arial"/>
          <w:sz w:val="24"/>
          <w:szCs w:val="24"/>
        </w:rPr>
        <w:t xml:space="preserve">ante este Tribunal, el </w:t>
      </w:r>
      <w:r w:rsidR="0087720E">
        <w:rPr>
          <w:rFonts w:ascii="Arial Nova" w:hAnsi="Arial Nova" w:cs="Arial"/>
          <w:sz w:val="24"/>
          <w:szCs w:val="24"/>
        </w:rPr>
        <w:t>trece</w:t>
      </w:r>
      <w:r w:rsidR="00440C83" w:rsidRPr="00B254B3">
        <w:rPr>
          <w:rFonts w:ascii="Arial Nova" w:hAnsi="Arial Nova" w:cs="Arial"/>
          <w:sz w:val="24"/>
          <w:szCs w:val="24"/>
        </w:rPr>
        <w:t xml:space="preserve"> de </w:t>
      </w:r>
      <w:r w:rsidR="00B254B3" w:rsidRPr="00B254B3">
        <w:rPr>
          <w:rFonts w:ascii="Arial Nova" w:hAnsi="Arial Nova" w:cs="Arial"/>
          <w:sz w:val="24"/>
          <w:szCs w:val="24"/>
        </w:rPr>
        <w:t>marzo, en</w:t>
      </w:r>
      <w:r w:rsidR="00E75AD4" w:rsidRPr="00B254B3">
        <w:rPr>
          <w:rFonts w:ascii="Arial Nova" w:hAnsi="Arial Nova" w:cs="Arial"/>
          <w:sz w:val="24"/>
          <w:szCs w:val="24"/>
        </w:rPr>
        <w:t xml:space="preserve"> contra de</w:t>
      </w:r>
      <w:r w:rsidR="00102A69">
        <w:rPr>
          <w:rFonts w:ascii="Arial Nova" w:hAnsi="Arial Nova" w:cs="Arial"/>
          <w:sz w:val="24"/>
          <w:szCs w:val="24"/>
        </w:rPr>
        <w:t>l Dictamen impugnado.</w:t>
      </w:r>
    </w:p>
    <w:p w:rsidR="004D2E8F" w:rsidRPr="004D2E8F" w:rsidRDefault="004D2E8F" w:rsidP="004D2E8F">
      <w:pPr>
        <w:pStyle w:val="Prrafodelista"/>
        <w:rPr>
          <w:rFonts w:ascii="Arial Nova" w:hAnsi="Arial Nova" w:cs="Arial"/>
          <w:sz w:val="24"/>
          <w:szCs w:val="24"/>
        </w:rPr>
      </w:pPr>
    </w:p>
    <w:p w:rsidR="004D2E8F" w:rsidRPr="00185B95" w:rsidRDefault="0041616E" w:rsidP="00FE6240">
      <w:pPr>
        <w:pStyle w:val="Prrafodelista"/>
        <w:numPr>
          <w:ilvl w:val="1"/>
          <w:numId w:val="3"/>
        </w:numPr>
        <w:tabs>
          <w:tab w:val="left" w:pos="426"/>
          <w:tab w:val="left" w:pos="709"/>
        </w:tabs>
        <w:spacing w:after="160" w:line="360" w:lineRule="auto"/>
        <w:ind w:left="0" w:right="-283" w:firstLine="0"/>
        <w:jc w:val="both"/>
        <w:rPr>
          <w:rFonts w:ascii="Arial Nova" w:hAnsi="Arial Nova" w:cs="Arial"/>
          <w:b/>
          <w:sz w:val="24"/>
          <w:szCs w:val="24"/>
        </w:rPr>
      </w:pPr>
      <w:r w:rsidRPr="00185B95">
        <w:rPr>
          <w:rFonts w:ascii="Arial Nova" w:hAnsi="Arial Nova" w:cs="Arial"/>
          <w:b/>
          <w:sz w:val="24"/>
          <w:szCs w:val="24"/>
        </w:rPr>
        <w:t>Reencauzamiento</w:t>
      </w:r>
      <w:r w:rsidRPr="00AD78CD">
        <w:rPr>
          <w:rFonts w:ascii="Arial Nova" w:hAnsi="Arial Nova" w:cs="Arial"/>
          <w:b/>
          <w:sz w:val="24"/>
          <w:szCs w:val="24"/>
        </w:rPr>
        <w:t>.</w:t>
      </w:r>
      <w:r w:rsidR="00D437DA" w:rsidRPr="00AD78CD">
        <w:rPr>
          <w:rFonts w:ascii="Arial Nova" w:hAnsi="Arial Nova" w:cs="Arial"/>
          <w:b/>
          <w:sz w:val="24"/>
          <w:szCs w:val="24"/>
        </w:rPr>
        <w:t xml:space="preserve"> </w:t>
      </w:r>
      <w:r w:rsidR="00D437DA" w:rsidRPr="00AD78CD">
        <w:rPr>
          <w:rFonts w:ascii="Arial Nova" w:hAnsi="Arial Nova" w:cs="Arial"/>
          <w:sz w:val="24"/>
          <w:szCs w:val="24"/>
        </w:rPr>
        <w:t xml:space="preserve">En fecha </w:t>
      </w:r>
      <w:proofErr w:type="gramStart"/>
      <w:r w:rsidR="00AD78CD" w:rsidRPr="00AD78CD">
        <w:rPr>
          <w:rFonts w:ascii="Arial Nova" w:hAnsi="Arial Nova" w:cs="Arial"/>
          <w:sz w:val="24"/>
          <w:szCs w:val="24"/>
        </w:rPr>
        <w:t>trece marzo</w:t>
      </w:r>
      <w:proofErr w:type="gramEnd"/>
      <w:r w:rsidR="00D437DA" w:rsidRPr="00AD78CD">
        <w:rPr>
          <w:rFonts w:ascii="Arial Nova" w:hAnsi="Arial Nova" w:cs="Arial"/>
          <w:sz w:val="24"/>
          <w:szCs w:val="24"/>
        </w:rPr>
        <w:t>, este Tribunal determinó reencauzar</w:t>
      </w:r>
      <w:r w:rsidR="002E5F10" w:rsidRPr="00AD78CD">
        <w:rPr>
          <w:rFonts w:ascii="Arial Nova" w:hAnsi="Arial Nova" w:cs="Arial"/>
          <w:sz w:val="24"/>
          <w:szCs w:val="24"/>
        </w:rPr>
        <w:t xml:space="preserve"> el</w:t>
      </w:r>
      <w:r w:rsidR="00657DBF" w:rsidRPr="00AD78CD">
        <w:rPr>
          <w:rFonts w:ascii="Arial Nova" w:hAnsi="Arial Nova" w:cs="Arial"/>
          <w:sz w:val="24"/>
          <w:szCs w:val="24"/>
        </w:rPr>
        <w:t xml:space="preserve"> </w:t>
      </w:r>
      <w:r w:rsidR="00657DBF" w:rsidRPr="00AD78CD">
        <w:rPr>
          <w:rFonts w:ascii="Arial" w:hAnsi="Arial" w:cs="Arial"/>
          <w:sz w:val="24"/>
          <w:szCs w:val="24"/>
        </w:rPr>
        <w:t xml:space="preserve">medio de impugnación </w:t>
      </w:r>
      <w:r w:rsidR="00AD78CD" w:rsidRPr="00AD78CD">
        <w:rPr>
          <w:rFonts w:ascii="Arial" w:hAnsi="Arial" w:cs="Arial"/>
          <w:sz w:val="24"/>
          <w:szCs w:val="24"/>
        </w:rPr>
        <w:t xml:space="preserve">citado en el numeral anterior, </w:t>
      </w:r>
      <w:r w:rsidR="00657DBF" w:rsidRPr="00AD78CD">
        <w:rPr>
          <w:rFonts w:ascii="Arial" w:hAnsi="Arial" w:cs="Arial"/>
          <w:sz w:val="24"/>
          <w:szCs w:val="24"/>
        </w:rPr>
        <w:t>a la</w:t>
      </w:r>
      <w:r w:rsidR="00657DBF" w:rsidRPr="00AD78CD">
        <w:rPr>
          <w:rFonts w:ascii="Arial" w:hAnsi="Arial" w:cs="Arial"/>
          <w:b/>
          <w:sz w:val="24"/>
          <w:szCs w:val="24"/>
        </w:rPr>
        <w:t xml:space="preserve"> Comisión Nacional de Honestidad y Justicia de MORENA</w:t>
      </w:r>
      <w:r w:rsidR="00657DBF" w:rsidRPr="00AD78CD">
        <w:rPr>
          <w:rFonts w:ascii="Arial" w:hAnsi="Arial" w:cs="Arial"/>
          <w:sz w:val="24"/>
          <w:szCs w:val="24"/>
        </w:rPr>
        <w:t>, por ser el órgano competente para su conocimiento y resolución</w:t>
      </w:r>
      <w:r w:rsidR="00AD78CD">
        <w:rPr>
          <w:rFonts w:ascii="Arial" w:hAnsi="Arial" w:cs="Arial"/>
          <w:sz w:val="24"/>
          <w:szCs w:val="24"/>
        </w:rPr>
        <w:t xml:space="preserve">, en cumplimiento al principio de </w:t>
      </w:r>
      <w:proofErr w:type="spellStart"/>
      <w:r w:rsidR="00AD78CD">
        <w:rPr>
          <w:rFonts w:ascii="Arial" w:hAnsi="Arial" w:cs="Arial"/>
          <w:sz w:val="24"/>
          <w:szCs w:val="24"/>
        </w:rPr>
        <w:t>definitivad</w:t>
      </w:r>
      <w:proofErr w:type="spellEnd"/>
      <w:r w:rsidR="00AD78CD">
        <w:rPr>
          <w:rFonts w:ascii="Arial" w:hAnsi="Arial" w:cs="Arial"/>
          <w:sz w:val="24"/>
          <w:szCs w:val="24"/>
        </w:rPr>
        <w:t>.</w:t>
      </w:r>
    </w:p>
    <w:p w:rsidR="0041616E" w:rsidRPr="0041616E" w:rsidRDefault="0041616E" w:rsidP="0041616E">
      <w:pPr>
        <w:pStyle w:val="Prrafodelista"/>
        <w:rPr>
          <w:rFonts w:ascii="Arial Nova" w:hAnsi="Arial Nova" w:cs="Arial"/>
          <w:sz w:val="24"/>
          <w:szCs w:val="24"/>
        </w:rPr>
      </w:pPr>
    </w:p>
    <w:p w:rsidR="0041616E" w:rsidRPr="0052267B" w:rsidRDefault="0041616E" w:rsidP="00FE6240">
      <w:pPr>
        <w:pStyle w:val="Prrafodelista"/>
        <w:numPr>
          <w:ilvl w:val="1"/>
          <w:numId w:val="3"/>
        </w:numPr>
        <w:tabs>
          <w:tab w:val="left" w:pos="426"/>
          <w:tab w:val="left" w:pos="709"/>
        </w:tabs>
        <w:spacing w:after="160" w:line="360" w:lineRule="auto"/>
        <w:ind w:left="0" w:right="-283" w:firstLine="0"/>
        <w:jc w:val="both"/>
        <w:rPr>
          <w:rFonts w:ascii="Arial Nova" w:hAnsi="Arial Nova" w:cs="Arial"/>
          <w:sz w:val="24"/>
          <w:szCs w:val="24"/>
        </w:rPr>
      </w:pPr>
      <w:r w:rsidRPr="00185B95">
        <w:rPr>
          <w:rFonts w:ascii="Arial Nova" w:hAnsi="Arial Nova" w:cs="Arial"/>
          <w:b/>
          <w:sz w:val="24"/>
          <w:szCs w:val="24"/>
        </w:rPr>
        <w:t>Juicio ciudadano en contra del reencauzamiento.</w:t>
      </w:r>
      <w:r w:rsidR="00AD78CD">
        <w:rPr>
          <w:rFonts w:ascii="Arial Nova" w:hAnsi="Arial Nova" w:cs="Arial"/>
          <w:b/>
          <w:sz w:val="24"/>
          <w:szCs w:val="24"/>
        </w:rPr>
        <w:t xml:space="preserve"> </w:t>
      </w:r>
      <w:r w:rsidR="00AB2CAE" w:rsidRPr="00AB2CAE">
        <w:rPr>
          <w:rFonts w:ascii="Arial Nova" w:hAnsi="Arial Nova" w:cs="Arial"/>
          <w:sz w:val="24"/>
          <w:szCs w:val="24"/>
        </w:rPr>
        <w:t>El día</w:t>
      </w:r>
      <w:r w:rsidR="00AB2CAE">
        <w:rPr>
          <w:rFonts w:ascii="Arial Nova" w:hAnsi="Arial Nova" w:cs="Arial"/>
          <w:b/>
          <w:sz w:val="24"/>
          <w:szCs w:val="24"/>
        </w:rPr>
        <w:t xml:space="preserve"> </w:t>
      </w:r>
      <w:r w:rsidR="0052267B" w:rsidRPr="0052267B">
        <w:rPr>
          <w:rFonts w:ascii="Arial Nova" w:hAnsi="Arial Nova" w:cs="Arial"/>
          <w:sz w:val="24"/>
          <w:szCs w:val="24"/>
        </w:rPr>
        <w:t>dieciséis de marzo, el promovente interpuso Juicio Ciudadano federal, en contra del acuerdo de reencauzamiento citado en el numeral que antecede.</w:t>
      </w:r>
    </w:p>
    <w:p w:rsidR="0028714E" w:rsidRPr="0028714E" w:rsidRDefault="0028714E" w:rsidP="0028714E">
      <w:pPr>
        <w:pStyle w:val="Prrafodelista"/>
        <w:rPr>
          <w:rFonts w:ascii="Arial Nova" w:hAnsi="Arial Nova" w:cs="Arial"/>
          <w:sz w:val="24"/>
          <w:szCs w:val="24"/>
        </w:rPr>
      </w:pPr>
    </w:p>
    <w:p w:rsidR="0028714E" w:rsidRPr="0092424F" w:rsidRDefault="0028714E" w:rsidP="00FE6240">
      <w:pPr>
        <w:pStyle w:val="Prrafodelista"/>
        <w:numPr>
          <w:ilvl w:val="1"/>
          <w:numId w:val="3"/>
        </w:numPr>
        <w:tabs>
          <w:tab w:val="left" w:pos="426"/>
          <w:tab w:val="left" w:pos="709"/>
        </w:tabs>
        <w:spacing w:after="160" w:line="360" w:lineRule="auto"/>
        <w:ind w:left="0" w:right="-283" w:firstLine="0"/>
        <w:jc w:val="both"/>
        <w:rPr>
          <w:rFonts w:ascii="Arial Nova" w:hAnsi="Arial Nova" w:cs="Arial"/>
          <w:b/>
          <w:sz w:val="24"/>
          <w:szCs w:val="24"/>
        </w:rPr>
      </w:pPr>
      <w:r w:rsidRPr="00185B95">
        <w:rPr>
          <w:rFonts w:ascii="Arial Nova" w:hAnsi="Arial Nova" w:cs="Arial"/>
          <w:b/>
          <w:sz w:val="24"/>
          <w:szCs w:val="24"/>
        </w:rPr>
        <w:t xml:space="preserve"> Resolución de los </w:t>
      </w:r>
      <w:r w:rsidR="00D6264E" w:rsidRPr="00185B95">
        <w:rPr>
          <w:rFonts w:ascii="Arial Nova" w:hAnsi="Arial Nova" w:cs="Arial"/>
          <w:b/>
          <w:sz w:val="24"/>
          <w:szCs w:val="24"/>
        </w:rPr>
        <w:t>Juicios</w:t>
      </w:r>
      <w:r w:rsidRPr="00185B95">
        <w:rPr>
          <w:rFonts w:ascii="Arial Nova" w:hAnsi="Arial Nova" w:cs="Arial"/>
          <w:b/>
          <w:sz w:val="24"/>
          <w:szCs w:val="24"/>
        </w:rPr>
        <w:t xml:space="preserve"> Ciudadanos por parte del Tribunal </w:t>
      </w:r>
      <w:r w:rsidR="00D6264E" w:rsidRPr="00185B95">
        <w:rPr>
          <w:rFonts w:ascii="Arial Nova" w:hAnsi="Arial Nova" w:cs="Arial"/>
          <w:b/>
          <w:sz w:val="24"/>
          <w:szCs w:val="24"/>
        </w:rPr>
        <w:t>Local.</w:t>
      </w:r>
      <w:r w:rsidR="0052267B">
        <w:rPr>
          <w:rFonts w:ascii="Arial Nova" w:hAnsi="Arial Nova" w:cs="Arial"/>
          <w:b/>
          <w:sz w:val="24"/>
          <w:szCs w:val="24"/>
        </w:rPr>
        <w:t xml:space="preserve"> </w:t>
      </w:r>
      <w:r w:rsidR="0052267B" w:rsidRPr="00020608">
        <w:rPr>
          <w:rFonts w:ascii="Arial Nova" w:hAnsi="Arial Nova" w:cs="Arial"/>
          <w:sz w:val="24"/>
          <w:szCs w:val="24"/>
        </w:rPr>
        <w:t xml:space="preserve">El </w:t>
      </w:r>
      <w:r w:rsidR="00A4006F" w:rsidRPr="00020608">
        <w:rPr>
          <w:rFonts w:ascii="Arial Nova" w:hAnsi="Arial Nova" w:cs="Arial"/>
          <w:sz w:val="24"/>
          <w:szCs w:val="24"/>
        </w:rPr>
        <w:t>vein</w:t>
      </w:r>
      <w:r w:rsidR="00020608" w:rsidRPr="00020608">
        <w:rPr>
          <w:rFonts w:ascii="Arial Nova" w:hAnsi="Arial Nova" w:cs="Arial"/>
          <w:sz w:val="24"/>
          <w:szCs w:val="24"/>
        </w:rPr>
        <w:t>tisi</w:t>
      </w:r>
      <w:r w:rsidR="00A4006F" w:rsidRPr="00020608">
        <w:rPr>
          <w:rFonts w:ascii="Arial Nova" w:hAnsi="Arial Nova" w:cs="Arial"/>
          <w:sz w:val="24"/>
          <w:szCs w:val="24"/>
        </w:rPr>
        <w:t>ete de marzo, este Tribunal electoral, resolvió los asuntos TEEA-JDC-018/19, TEEA-JDC-01</w:t>
      </w:r>
      <w:r w:rsidR="00020608" w:rsidRPr="00020608">
        <w:rPr>
          <w:rFonts w:ascii="Arial Nova" w:hAnsi="Arial Nova" w:cs="Arial"/>
          <w:sz w:val="24"/>
          <w:szCs w:val="24"/>
        </w:rPr>
        <w:t>9</w:t>
      </w:r>
      <w:r w:rsidR="00A4006F" w:rsidRPr="00020608">
        <w:rPr>
          <w:rFonts w:ascii="Arial Nova" w:hAnsi="Arial Nova" w:cs="Arial"/>
          <w:sz w:val="24"/>
          <w:szCs w:val="24"/>
        </w:rPr>
        <w:t>/19, TEEA-JDC-0</w:t>
      </w:r>
      <w:r w:rsidR="00020608" w:rsidRPr="00020608">
        <w:rPr>
          <w:rFonts w:ascii="Arial Nova" w:hAnsi="Arial Nova" w:cs="Arial"/>
          <w:sz w:val="24"/>
          <w:szCs w:val="24"/>
        </w:rPr>
        <w:t>21</w:t>
      </w:r>
      <w:r w:rsidR="00A4006F" w:rsidRPr="00020608">
        <w:rPr>
          <w:rFonts w:ascii="Arial Nova" w:hAnsi="Arial Nova" w:cs="Arial"/>
          <w:sz w:val="24"/>
          <w:szCs w:val="24"/>
        </w:rPr>
        <w:t>/19 y TEEA-JDC-0</w:t>
      </w:r>
      <w:r w:rsidR="00020608" w:rsidRPr="00020608">
        <w:rPr>
          <w:rFonts w:ascii="Arial Nova" w:hAnsi="Arial Nova" w:cs="Arial"/>
          <w:sz w:val="24"/>
          <w:szCs w:val="24"/>
        </w:rPr>
        <w:t>20</w:t>
      </w:r>
      <w:r w:rsidR="00A4006F" w:rsidRPr="00020608">
        <w:rPr>
          <w:rFonts w:ascii="Arial Nova" w:hAnsi="Arial Nova" w:cs="Arial"/>
          <w:sz w:val="24"/>
          <w:szCs w:val="24"/>
        </w:rPr>
        <w:t>/19</w:t>
      </w:r>
      <w:r w:rsidR="00020608" w:rsidRPr="00020608">
        <w:rPr>
          <w:rFonts w:ascii="Arial Nova" w:hAnsi="Arial Nova" w:cs="Arial"/>
          <w:sz w:val="24"/>
          <w:szCs w:val="24"/>
        </w:rPr>
        <w:t xml:space="preserve"> y Acumulados</w:t>
      </w:r>
      <w:r w:rsidR="00020608">
        <w:rPr>
          <w:rFonts w:ascii="Arial Nova" w:hAnsi="Arial Nova" w:cs="Arial"/>
          <w:sz w:val="24"/>
          <w:szCs w:val="24"/>
        </w:rPr>
        <w:t xml:space="preserve">, revocando las </w:t>
      </w:r>
      <w:r w:rsidR="00EF7F5D">
        <w:rPr>
          <w:rFonts w:ascii="Arial Nova" w:hAnsi="Arial Nova" w:cs="Arial"/>
          <w:sz w:val="24"/>
          <w:szCs w:val="24"/>
        </w:rPr>
        <w:t>resoluciones</w:t>
      </w:r>
      <w:r w:rsidR="00020608">
        <w:rPr>
          <w:rFonts w:ascii="Arial Nova" w:hAnsi="Arial Nova" w:cs="Arial"/>
          <w:sz w:val="24"/>
          <w:szCs w:val="24"/>
        </w:rPr>
        <w:t xml:space="preserve"> intrapartidistas impugnadas</w:t>
      </w:r>
      <w:r w:rsidR="0092424F">
        <w:rPr>
          <w:rFonts w:ascii="Arial Nova" w:hAnsi="Arial Nova" w:cs="Arial"/>
          <w:sz w:val="24"/>
          <w:szCs w:val="24"/>
        </w:rPr>
        <w:t>, así como el Dictamen de controversia.</w:t>
      </w:r>
    </w:p>
    <w:p w:rsidR="0092424F" w:rsidRPr="0092424F" w:rsidRDefault="0092424F" w:rsidP="0092424F">
      <w:pPr>
        <w:pStyle w:val="Prrafodelista"/>
        <w:rPr>
          <w:rFonts w:ascii="Arial Nova" w:hAnsi="Arial Nova" w:cs="Arial"/>
          <w:b/>
          <w:sz w:val="24"/>
          <w:szCs w:val="24"/>
        </w:rPr>
      </w:pPr>
    </w:p>
    <w:p w:rsidR="0041616E" w:rsidRPr="00080AC4" w:rsidRDefault="0041616E" w:rsidP="00FE6240">
      <w:pPr>
        <w:pStyle w:val="Prrafodelista"/>
        <w:numPr>
          <w:ilvl w:val="1"/>
          <w:numId w:val="3"/>
        </w:numPr>
        <w:tabs>
          <w:tab w:val="left" w:pos="426"/>
          <w:tab w:val="left" w:pos="709"/>
        </w:tabs>
        <w:spacing w:after="160" w:line="360" w:lineRule="auto"/>
        <w:ind w:left="0" w:right="-283" w:firstLine="0"/>
        <w:jc w:val="both"/>
        <w:rPr>
          <w:rFonts w:ascii="Arial Nova" w:hAnsi="Arial Nova" w:cs="Arial"/>
          <w:b/>
          <w:sz w:val="24"/>
          <w:szCs w:val="24"/>
        </w:rPr>
      </w:pPr>
      <w:r w:rsidRPr="00185B95">
        <w:rPr>
          <w:rFonts w:ascii="Arial Nova" w:hAnsi="Arial Nova" w:cs="Arial"/>
          <w:b/>
          <w:sz w:val="24"/>
          <w:szCs w:val="24"/>
        </w:rPr>
        <w:t>Ordenamiento de Sala Monterrey.</w:t>
      </w:r>
      <w:r w:rsidR="0092424F">
        <w:rPr>
          <w:rFonts w:ascii="Arial Nova" w:hAnsi="Arial Nova" w:cs="Arial"/>
          <w:b/>
          <w:sz w:val="24"/>
          <w:szCs w:val="24"/>
        </w:rPr>
        <w:t xml:space="preserve"> </w:t>
      </w:r>
      <w:r w:rsidR="0092424F" w:rsidRPr="00CC45CA">
        <w:rPr>
          <w:rFonts w:ascii="Arial Nova" w:hAnsi="Arial Nova" w:cs="Arial"/>
          <w:sz w:val="24"/>
          <w:szCs w:val="24"/>
        </w:rPr>
        <w:t xml:space="preserve">En fecha veintisiete de marzo, Sala Monterrey, mediante sentencia </w:t>
      </w:r>
      <w:r w:rsidR="00F56C07" w:rsidRPr="00CC45CA">
        <w:rPr>
          <w:rFonts w:ascii="Arial Nova" w:hAnsi="Arial Nova" w:cs="Arial"/>
          <w:sz w:val="24"/>
          <w:szCs w:val="24"/>
        </w:rPr>
        <w:t xml:space="preserve">SM-JDC-97/2019, escindió y reencauzó a este Tribunal electoral, para que conociera y se manifestara </w:t>
      </w:r>
      <w:r w:rsidR="00686A32" w:rsidRPr="00CC45CA">
        <w:rPr>
          <w:rFonts w:ascii="Arial Nova" w:hAnsi="Arial Nova" w:cs="Arial"/>
          <w:sz w:val="24"/>
          <w:szCs w:val="24"/>
        </w:rPr>
        <w:t>únicamente sobre el Acuerdo</w:t>
      </w:r>
      <w:r w:rsidR="00CC45CA" w:rsidRPr="00CC45CA">
        <w:rPr>
          <w:rFonts w:ascii="Arial Nova" w:hAnsi="Arial Nova" w:cs="Arial"/>
          <w:sz w:val="24"/>
          <w:szCs w:val="24"/>
        </w:rPr>
        <w:t xml:space="preserve"> emitido por </w:t>
      </w:r>
      <w:r w:rsidR="00686A32" w:rsidRPr="00CC45CA">
        <w:rPr>
          <w:rFonts w:ascii="Arial Nova" w:hAnsi="Arial Nova" w:cs="Arial"/>
          <w:sz w:val="24"/>
          <w:szCs w:val="24"/>
        </w:rPr>
        <w:t>la CNHJ</w:t>
      </w:r>
      <w:r w:rsidR="00080AC4">
        <w:rPr>
          <w:rFonts w:ascii="Arial Nova" w:hAnsi="Arial Nova" w:cs="Arial"/>
          <w:sz w:val="24"/>
          <w:szCs w:val="24"/>
        </w:rPr>
        <w:t>, que tuvo por no presentada la queja partidista en el expediente CNHJ-AGS-162/19.</w:t>
      </w:r>
    </w:p>
    <w:p w:rsidR="00080AC4" w:rsidRPr="00080AC4" w:rsidRDefault="00080AC4" w:rsidP="00080AC4">
      <w:pPr>
        <w:pStyle w:val="Prrafodelista"/>
        <w:rPr>
          <w:rFonts w:ascii="Arial Nova" w:hAnsi="Arial Nova" w:cs="Arial"/>
          <w:b/>
          <w:sz w:val="24"/>
          <w:szCs w:val="24"/>
        </w:rPr>
      </w:pPr>
    </w:p>
    <w:bookmarkEnd w:id="2"/>
    <w:p w:rsidR="00863552" w:rsidRPr="00B254B3" w:rsidRDefault="00FE6240" w:rsidP="00FE6240">
      <w:pPr>
        <w:pStyle w:val="Prrafodelista"/>
        <w:numPr>
          <w:ilvl w:val="1"/>
          <w:numId w:val="3"/>
        </w:numPr>
        <w:tabs>
          <w:tab w:val="left" w:pos="426"/>
        </w:tabs>
        <w:spacing w:after="160" w:line="360" w:lineRule="auto"/>
        <w:ind w:left="0" w:right="-283" w:firstLine="0"/>
        <w:jc w:val="both"/>
        <w:rPr>
          <w:rFonts w:ascii="Arial Nova" w:hAnsi="Arial Nova" w:cs="Arial"/>
          <w:b/>
          <w:sz w:val="24"/>
          <w:szCs w:val="24"/>
        </w:rPr>
      </w:pPr>
      <w:r w:rsidRPr="00B254B3">
        <w:rPr>
          <w:rFonts w:ascii="Arial Nova" w:hAnsi="Arial Nova" w:cs="Arial"/>
          <w:b/>
          <w:sz w:val="24"/>
          <w:szCs w:val="24"/>
        </w:rPr>
        <w:lastRenderedPageBreak/>
        <w:t xml:space="preserve"> Radicación</w:t>
      </w:r>
      <w:r w:rsidR="00863552" w:rsidRPr="00B254B3">
        <w:rPr>
          <w:rFonts w:ascii="Arial Nova" w:hAnsi="Arial Nova" w:cs="Arial"/>
          <w:b/>
          <w:sz w:val="24"/>
          <w:szCs w:val="24"/>
        </w:rPr>
        <w:t xml:space="preserve">. </w:t>
      </w:r>
      <w:r w:rsidRPr="00316965">
        <w:rPr>
          <w:rFonts w:ascii="Arial Nova" w:hAnsi="Arial Nova" w:cs="Arial"/>
          <w:sz w:val="24"/>
          <w:szCs w:val="24"/>
        </w:rPr>
        <w:t xml:space="preserve">En su oportunidad, </w:t>
      </w:r>
      <w:r w:rsidR="0041616E" w:rsidRPr="00316965">
        <w:rPr>
          <w:rFonts w:ascii="Arial Nova" w:hAnsi="Arial Nova" w:cs="Arial"/>
          <w:sz w:val="24"/>
          <w:szCs w:val="24"/>
        </w:rPr>
        <w:t>el</w:t>
      </w:r>
      <w:r w:rsidRPr="00316965">
        <w:rPr>
          <w:rFonts w:ascii="Arial Nova" w:hAnsi="Arial Nova" w:cs="Arial"/>
          <w:sz w:val="24"/>
          <w:szCs w:val="24"/>
        </w:rPr>
        <w:t xml:space="preserve"> Magistrad</w:t>
      </w:r>
      <w:r w:rsidR="0041616E" w:rsidRPr="00316965">
        <w:rPr>
          <w:rFonts w:ascii="Arial Nova" w:hAnsi="Arial Nova" w:cs="Arial"/>
          <w:sz w:val="24"/>
          <w:szCs w:val="24"/>
        </w:rPr>
        <w:t>o</w:t>
      </w:r>
      <w:r w:rsidRPr="00316965">
        <w:rPr>
          <w:rFonts w:ascii="Arial Nova" w:hAnsi="Arial Nova" w:cs="Arial"/>
          <w:sz w:val="24"/>
          <w:szCs w:val="24"/>
        </w:rPr>
        <w:t xml:space="preserve"> radicó </w:t>
      </w:r>
      <w:r w:rsidR="00B254B3" w:rsidRPr="00316965">
        <w:rPr>
          <w:rFonts w:ascii="Arial Nova" w:hAnsi="Arial Nova" w:cs="Arial"/>
          <w:sz w:val="24"/>
          <w:szCs w:val="24"/>
        </w:rPr>
        <w:t>la demanda, y por proveído de fecha veinti</w:t>
      </w:r>
      <w:r w:rsidR="0028714E" w:rsidRPr="00316965">
        <w:rPr>
          <w:rFonts w:ascii="Arial Nova" w:hAnsi="Arial Nova" w:cs="Arial"/>
          <w:sz w:val="24"/>
          <w:szCs w:val="24"/>
        </w:rPr>
        <w:t>nueve</w:t>
      </w:r>
      <w:r w:rsidR="00B254B3" w:rsidRPr="00316965">
        <w:rPr>
          <w:rFonts w:ascii="Arial Nova" w:hAnsi="Arial Nova" w:cs="Arial"/>
          <w:sz w:val="24"/>
          <w:szCs w:val="24"/>
        </w:rPr>
        <w:t xml:space="preserve"> de marzo </w:t>
      </w:r>
      <w:r w:rsidRPr="00316965">
        <w:rPr>
          <w:rFonts w:ascii="Arial Nova" w:hAnsi="Arial Nova" w:cs="Arial"/>
          <w:sz w:val="24"/>
          <w:szCs w:val="24"/>
        </w:rPr>
        <w:t>admitió</w:t>
      </w:r>
      <w:r w:rsidR="00316965" w:rsidRPr="00316965">
        <w:rPr>
          <w:rFonts w:ascii="Arial Nova" w:hAnsi="Arial Nova" w:cs="Arial"/>
          <w:sz w:val="24"/>
          <w:szCs w:val="24"/>
        </w:rPr>
        <w:t xml:space="preserve"> a </w:t>
      </w:r>
      <w:r w:rsidR="00CC45CA" w:rsidRPr="00316965">
        <w:rPr>
          <w:rFonts w:ascii="Arial Nova" w:hAnsi="Arial Nova" w:cs="Arial"/>
          <w:sz w:val="24"/>
          <w:szCs w:val="24"/>
        </w:rPr>
        <w:t>trámite</w:t>
      </w:r>
      <w:r w:rsidRPr="00316965">
        <w:rPr>
          <w:rFonts w:ascii="Arial Nova" w:hAnsi="Arial Nova" w:cs="Arial"/>
          <w:sz w:val="24"/>
          <w:szCs w:val="24"/>
        </w:rPr>
        <w:t xml:space="preserve"> el presente asunto </w:t>
      </w:r>
      <w:r w:rsidR="00863552" w:rsidRPr="00316965">
        <w:rPr>
          <w:rFonts w:ascii="Arial Nova" w:hAnsi="Arial Nova" w:cs="Arial"/>
          <w:sz w:val="24"/>
          <w:szCs w:val="24"/>
        </w:rPr>
        <w:t>en la ponencia a su cargo.</w:t>
      </w:r>
      <w:r w:rsidR="00863552" w:rsidRPr="00B254B3">
        <w:rPr>
          <w:rFonts w:ascii="Arial Nova" w:hAnsi="Arial Nova" w:cs="Arial"/>
          <w:sz w:val="24"/>
          <w:szCs w:val="24"/>
        </w:rPr>
        <w:t xml:space="preserve"> </w:t>
      </w:r>
    </w:p>
    <w:p w:rsidR="00863552" w:rsidRPr="00B254B3" w:rsidRDefault="00863552" w:rsidP="00863552">
      <w:pPr>
        <w:pStyle w:val="Prrafodelista"/>
        <w:rPr>
          <w:rFonts w:ascii="Arial Nova" w:hAnsi="Arial Nova" w:cs="Arial"/>
          <w:sz w:val="24"/>
          <w:szCs w:val="24"/>
        </w:rPr>
      </w:pPr>
    </w:p>
    <w:p w:rsidR="00FE6240" w:rsidRPr="00D6264E" w:rsidRDefault="00863552" w:rsidP="00FE6240">
      <w:pPr>
        <w:pStyle w:val="Prrafodelista"/>
        <w:numPr>
          <w:ilvl w:val="1"/>
          <w:numId w:val="3"/>
        </w:numPr>
        <w:tabs>
          <w:tab w:val="left" w:pos="426"/>
        </w:tabs>
        <w:spacing w:after="160" w:line="360" w:lineRule="auto"/>
        <w:ind w:left="0" w:right="-2" w:firstLine="0"/>
        <w:jc w:val="both"/>
        <w:rPr>
          <w:rFonts w:ascii="Arial Nova" w:hAnsi="Arial Nova" w:cs="Arial"/>
        </w:rPr>
      </w:pPr>
      <w:r w:rsidRPr="00D6264E">
        <w:rPr>
          <w:rFonts w:ascii="Arial Nova" w:hAnsi="Arial Nova" w:cs="Arial"/>
          <w:sz w:val="24"/>
          <w:szCs w:val="24"/>
        </w:rPr>
        <w:t xml:space="preserve"> </w:t>
      </w:r>
      <w:r w:rsidR="00FE6240" w:rsidRPr="00D6264E">
        <w:rPr>
          <w:rFonts w:ascii="Arial Nova" w:hAnsi="Arial Nova" w:cs="Arial"/>
          <w:b/>
          <w:bCs/>
          <w:color w:val="000000"/>
        </w:rPr>
        <w:t xml:space="preserve">2. COMPETENCIA. </w:t>
      </w:r>
      <w:r w:rsidR="00FE6240" w:rsidRPr="008D5012">
        <w:rPr>
          <w:rFonts w:ascii="Arial Nova" w:hAnsi="Arial Nova" w:cs="Arial"/>
          <w:sz w:val="24"/>
          <w:szCs w:val="24"/>
        </w:rPr>
        <w:t xml:space="preserve">De conformidad con lo previsto en los artículos 1°, 2°, 9° y 10°, fracción IV, de los Lineamientos, este Tribunal es competente para resolver el Juicio para la Protección de los Derechos Político-Electorales del Ciudadano, interpuesto por </w:t>
      </w:r>
      <w:r w:rsidR="00FE1099" w:rsidRPr="008D5012">
        <w:rPr>
          <w:rFonts w:ascii="Arial Nova" w:hAnsi="Arial Nova" w:cs="Arial"/>
          <w:sz w:val="24"/>
          <w:szCs w:val="24"/>
        </w:rPr>
        <w:t>el</w:t>
      </w:r>
      <w:r w:rsidR="00FE6240" w:rsidRPr="008D5012">
        <w:rPr>
          <w:rFonts w:ascii="Arial Nova" w:hAnsi="Arial Nova" w:cs="Arial"/>
          <w:sz w:val="24"/>
          <w:szCs w:val="24"/>
        </w:rPr>
        <w:t xml:space="preserve"> actor, por tratarse de juicio que promueve </w:t>
      </w:r>
      <w:r w:rsidR="00FE1099" w:rsidRPr="008D5012">
        <w:rPr>
          <w:rFonts w:ascii="Arial Nova" w:hAnsi="Arial Nova" w:cs="Arial"/>
          <w:sz w:val="24"/>
          <w:szCs w:val="24"/>
        </w:rPr>
        <w:t xml:space="preserve">el </w:t>
      </w:r>
      <w:r w:rsidR="00FE6240" w:rsidRPr="008D5012">
        <w:rPr>
          <w:rFonts w:ascii="Arial Nova" w:hAnsi="Arial Nova" w:cs="Arial"/>
          <w:sz w:val="24"/>
          <w:szCs w:val="24"/>
        </w:rPr>
        <w:t xml:space="preserve">ciudadano </w:t>
      </w:r>
      <w:r w:rsidR="00FE1099" w:rsidRPr="008D5012">
        <w:rPr>
          <w:rFonts w:ascii="Arial Nova" w:hAnsi="Arial Nova" w:cs="Arial"/>
          <w:sz w:val="24"/>
          <w:szCs w:val="24"/>
        </w:rPr>
        <w:t xml:space="preserve">en </w:t>
      </w:r>
      <w:r w:rsidR="00FE6240" w:rsidRPr="008D5012">
        <w:rPr>
          <w:rFonts w:ascii="Arial Nova" w:hAnsi="Arial Nova" w:cs="Arial"/>
          <w:sz w:val="24"/>
          <w:szCs w:val="24"/>
        </w:rPr>
        <w:t xml:space="preserve">contra </w:t>
      </w:r>
      <w:r w:rsidR="00FE1099" w:rsidRPr="008D5012">
        <w:rPr>
          <w:rFonts w:ascii="Arial Nova" w:hAnsi="Arial Nova" w:cs="Arial"/>
          <w:sz w:val="24"/>
          <w:szCs w:val="24"/>
        </w:rPr>
        <w:t xml:space="preserve">de </w:t>
      </w:r>
      <w:r w:rsidR="00FE6240" w:rsidRPr="008D5012">
        <w:rPr>
          <w:rFonts w:ascii="Arial Nova" w:hAnsi="Arial Nova" w:cs="Arial"/>
          <w:sz w:val="24"/>
          <w:szCs w:val="24"/>
        </w:rPr>
        <w:t>actos acontecidos dentro del proceso interno de selección y postulación de candidaturas a la presidencia municipal, sindicaturas y regidurías en el proceso electoral 2018-2019, de MORENA.</w:t>
      </w:r>
    </w:p>
    <w:p w:rsidR="009D5130" w:rsidRPr="00B254B3" w:rsidRDefault="00775EF3" w:rsidP="00775EF3">
      <w:pPr>
        <w:pStyle w:val="NormalWeb"/>
        <w:numPr>
          <w:ilvl w:val="0"/>
          <w:numId w:val="10"/>
        </w:numPr>
        <w:tabs>
          <w:tab w:val="left" w:pos="284"/>
        </w:tabs>
        <w:spacing w:line="360" w:lineRule="auto"/>
        <w:ind w:left="0" w:right="-2" w:firstLine="0"/>
        <w:contextualSpacing/>
        <w:mirrorIndents/>
        <w:jc w:val="both"/>
        <w:rPr>
          <w:rFonts w:ascii="Arial Nova" w:hAnsi="Arial Nova" w:cs="Arial"/>
        </w:rPr>
      </w:pPr>
      <w:r w:rsidRPr="00B254B3">
        <w:rPr>
          <w:rFonts w:ascii="Arial Nova" w:hAnsi="Arial Nova" w:cs="Arial"/>
          <w:b/>
        </w:rPr>
        <w:t>REQUISITOS DE PROCEDENCIA.</w:t>
      </w:r>
      <w:r w:rsidRPr="00B254B3">
        <w:rPr>
          <w:rFonts w:ascii="Arial Nova" w:hAnsi="Arial Nova" w:cs="Arial"/>
        </w:rPr>
        <w:t xml:space="preserve"> </w:t>
      </w:r>
      <w:r w:rsidR="00A97160" w:rsidRPr="00B254B3">
        <w:rPr>
          <w:rFonts w:ascii="Arial Nova" w:hAnsi="Arial Nova" w:cs="Arial"/>
        </w:rPr>
        <w:t xml:space="preserve">Este Tribunal advierte que el </w:t>
      </w:r>
      <w:r w:rsidR="00B254B3">
        <w:rPr>
          <w:rFonts w:ascii="Arial Nova" w:hAnsi="Arial Nova" w:cs="Arial"/>
        </w:rPr>
        <w:t>j</w:t>
      </w:r>
      <w:r w:rsidR="00A97160" w:rsidRPr="00B254B3">
        <w:rPr>
          <w:rFonts w:ascii="Arial Nova" w:hAnsi="Arial Nova" w:cs="Arial"/>
        </w:rPr>
        <w:t xml:space="preserve">uicio al rubro citado, </w:t>
      </w:r>
      <w:r w:rsidR="00A97160" w:rsidRPr="00B254B3">
        <w:rPr>
          <w:rFonts w:ascii="Arial Nova" w:hAnsi="Arial Nova" w:cs="Arial"/>
          <w:b/>
        </w:rPr>
        <w:t xml:space="preserve">debe sobreseerse, </w:t>
      </w:r>
      <w:r w:rsidR="00A97160" w:rsidRPr="00B254B3">
        <w:rPr>
          <w:rFonts w:ascii="Arial Nova" w:hAnsi="Arial Nova" w:cs="Arial"/>
        </w:rPr>
        <w:t xml:space="preserve">en virtud de que el asunto ha quedado sin materia. </w:t>
      </w:r>
    </w:p>
    <w:p w:rsidR="006E3425" w:rsidRPr="00B254B3" w:rsidRDefault="006E3425" w:rsidP="006E3425">
      <w:pPr>
        <w:pStyle w:val="NormalWeb"/>
        <w:tabs>
          <w:tab w:val="left" w:pos="284"/>
        </w:tabs>
        <w:spacing w:line="360" w:lineRule="auto"/>
        <w:ind w:right="-2"/>
        <w:contextualSpacing/>
        <w:mirrorIndents/>
        <w:jc w:val="both"/>
        <w:rPr>
          <w:rFonts w:ascii="Arial Nova" w:hAnsi="Arial Nova" w:cs="Arial"/>
          <w:b/>
        </w:rPr>
      </w:pPr>
    </w:p>
    <w:p w:rsidR="00533828" w:rsidRPr="00DD6FE8" w:rsidRDefault="006E3425" w:rsidP="00BB0239">
      <w:pPr>
        <w:pStyle w:val="NormalWeb"/>
        <w:numPr>
          <w:ilvl w:val="1"/>
          <w:numId w:val="10"/>
        </w:numPr>
        <w:tabs>
          <w:tab w:val="left" w:pos="284"/>
        </w:tabs>
        <w:spacing w:line="360" w:lineRule="auto"/>
        <w:ind w:left="0" w:right="-2" w:firstLine="0"/>
        <w:contextualSpacing/>
        <w:mirrorIndents/>
        <w:jc w:val="both"/>
        <w:rPr>
          <w:rFonts w:ascii="Arial Nova" w:hAnsi="Arial Nova" w:cs="Arial"/>
        </w:rPr>
      </w:pPr>
      <w:r w:rsidRPr="00DD6FE8">
        <w:rPr>
          <w:rFonts w:ascii="Arial Nova" w:hAnsi="Arial Nova" w:cs="Arial"/>
          <w:b/>
        </w:rPr>
        <w:t xml:space="preserve">Pretensión del Promovente. </w:t>
      </w:r>
      <w:r w:rsidRPr="00DD6FE8">
        <w:rPr>
          <w:rFonts w:ascii="Arial Nova" w:hAnsi="Arial Nova" w:cs="Arial"/>
        </w:rPr>
        <w:t xml:space="preserve">El </w:t>
      </w:r>
      <w:r w:rsidR="00B254B3" w:rsidRPr="00DD6FE8">
        <w:rPr>
          <w:rFonts w:ascii="Arial Nova" w:hAnsi="Arial Nova" w:cs="Arial"/>
        </w:rPr>
        <w:t xml:space="preserve">ciudadano </w:t>
      </w:r>
      <w:r w:rsidR="00D6264E" w:rsidRPr="00DD6FE8">
        <w:rPr>
          <w:rFonts w:ascii="Arial Nova" w:hAnsi="Arial Nova" w:cs="Arial"/>
        </w:rPr>
        <w:t>Israel Ortega González</w:t>
      </w:r>
      <w:r w:rsidRPr="00DD6FE8">
        <w:rPr>
          <w:rFonts w:ascii="Arial Nova" w:hAnsi="Arial Nova" w:cs="Arial"/>
        </w:rPr>
        <w:t xml:space="preserve">, en su </w:t>
      </w:r>
      <w:r w:rsidR="00B254B3" w:rsidRPr="00DD6FE8">
        <w:rPr>
          <w:rFonts w:ascii="Arial Nova" w:hAnsi="Arial Nova" w:cs="Arial"/>
        </w:rPr>
        <w:t xml:space="preserve">demanda </w:t>
      </w:r>
      <w:r w:rsidR="00A27443" w:rsidRPr="00DD6FE8">
        <w:rPr>
          <w:rFonts w:ascii="Arial Nova" w:hAnsi="Arial Nova" w:cs="Arial"/>
        </w:rPr>
        <w:t xml:space="preserve">esgrime diversos agravios </w:t>
      </w:r>
      <w:r w:rsidR="00B254B3" w:rsidRPr="00DD6FE8">
        <w:rPr>
          <w:rFonts w:ascii="Arial Nova" w:hAnsi="Arial Nova" w:cs="Arial"/>
        </w:rPr>
        <w:t xml:space="preserve">que dice le ocasiona el </w:t>
      </w:r>
      <w:r w:rsidR="00A27443" w:rsidRPr="00DD6FE8">
        <w:rPr>
          <w:rFonts w:ascii="Arial Nova" w:hAnsi="Arial Nova" w:cs="Arial"/>
        </w:rPr>
        <w:t xml:space="preserve">Dictamen, </w:t>
      </w:r>
      <w:r w:rsidR="00BB0239" w:rsidRPr="00DD6FE8">
        <w:rPr>
          <w:rFonts w:ascii="Arial Nova" w:hAnsi="Arial Nova" w:cs="Arial"/>
        </w:rPr>
        <w:t>de acuerdo al ordenado por Sala Monterrey</w:t>
      </w:r>
      <w:r w:rsidR="00A24F37" w:rsidRPr="00DD6FE8">
        <w:rPr>
          <w:rFonts w:ascii="Arial Nova" w:hAnsi="Arial Nova" w:cs="Arial"/>
        </w:rPr>
        <w:t xml:space="preserve">, sobre que este Tribunal local conozca lo relativo al agravio sobre </w:t>
      </w:r>
      <w:r w:rsidR="003F306F" w:rsidRPr="00DD6FE8">
        <w:rPr>
          <w:rFonts w:ascii="Arial Nova" w:hAnsi="Arial Nova" w:cs="Arial"/>
        </w:rPr>
        <w:t xml:space="preserve">el </w:t>
      </w:r>
      <w:r w:rsidR="00A24F37" w:rsidRPr="00DD6FE8">
        <w:rPr>
          <w:rFonts w:ascii="Arial Nova" w:hAnsi="Arial Nova" w:cs="Arial"/>
        </w:rPr>
        <w:t>Acuerdo</w:t>
      </w:r>
      <w:r w:rsidR="003F306F" w:rsidRPr="00DD6FE8">
        <w:rPr>
          <w:rFonts w:ascii="Arial Nova" w:hAnsi="Arial Nova" w:cs="Arial"/>
        </w:rPr>
        <w:t xml:space="preserve"> de la CNHJ</w:t>
      </w:r>
      <w:r w:rsidR="00A24F37" w:rsidRPr="00DD6FE8">
        <w:rPr>
          <w:rFonts w:ascii="Arial Nova" w:hAnsi="Arial Nova" w:cs="Arial"/>
        </w:rPr>
        <w:t xml:space="preserve"> que tiene por no presenta</w:t>
      </w:r>
      <w:r w:rsidR="00423163" w:rsidRPr="00DD6FE8">
        <w:rPr>
          <w:rFonts w:ascii="Arial Nova" w:hAnsi="Arial Nova" w:cs="Arial"/>
        </w:rPr>
        <w:t xml:space="preserve">do el medio de impugnación </w:t>
      </w:r>
      <w:r w:rsidR="003F306F" w:rsidRPr="00DD6FE8">
        <w:rPr>
          <w:rFonts w:ascii="Arial Nova" w:hAnsi="Arial Nova" w:cs="Arial"/>
        </w:rPr>
        <w:t>interno en el expediente CNHJ-AGS</w:t>
      </w:r>
      <w:r w:rsidR="00DD6FE8" w:rsidRPr="00DD6FE8">
        <w:rPr>
          <w:rFonts w:ascii="Arial Nova" w:hAnsi="Arial Nova" w:cs="Arial"/>
        </w:rPr>
        <w:t xml:space="preserve">-162/19, </w:t>
      </w:r>
      <w:r w:rsidR="00B254B3" w:rsidRPr="00DD6FE8">
        <w:rPr>
          <w:rFonts w:ascii="Arial Nova" w:hAnsi="Arial Nova" w:cs="Arial"/>
        </w:rPr>
        <w:t xml:space="preserve">pues como bien se desprende de su escrito, </w:t>
      </w:r>
      <w:r w:rsidR="000508D4" w:rsidRPr="00DD6FE8">
        <w:rPr>
          <w:rFonts w:ascii="Arial Nova" w:hAnsi="Arial Nova" w:cs="Arial"/>
        </w:rPr>
        <w:t xml:space="preserve">su pretensión final es ser incluido en la lista de precandidatos a la presidencia municipal del ayuntamiento de Aguascalientes. </w:t>
      </w:r>
    </w:p>
    <w:p w:rsidR="00B93F2B" w:rsidRPr="00B254B3" w:rsidRDefault="00B93F2B" w:rsidP="00B93F2B">
      <w:pPr>
        <w:pStyle w:val="NormalWeb"/>
        <w:tabs>
          <w:tab w:val="left" w:pos="284"/>
        </w:tabs>
        <w:spacing w:line="360" w:lineRule="auto"/>
        <w:ind w:right="-2"/>
        <w:contextualSpacing/>
        <w:mirrorIndents/>
        <w:jc w:val="both"/>
        <w:rPr>
          <w:rFonts w:ascii="Arial Nova" w:hAnsi="Arial Nova" w:cs="Arial"/>
        </w:rPr>
      </w:pPr>
    </w:p>
    <w:p w:rsidR="00B254B3" w:rsidRDefault="00B254B3" w:rsidP="00B254B3">
      <w:pPr>
        <w:pStyle w:val="NormalWeb"/>
        <w:numPr>
          <w:ilvl w:val="1"/>
          <w:numId w:val="10"/>
        </w:numPr>
        <w:tabs>
          <w:tab w:val="left" w:pos="284"/>
        </w:tabs>
        <w:spacing w:line="360" w:lineRule="auto"/>
        <w:ind w:left="0" w:right="-2" w:firstLine="0"/>
        <w:contextualSpacing/>
        <w:mirrorIndents/>
        <w:jc w:val="both"/>
        <w:rPr>
          <w:rFonts w:ascii="Arial Nova" w:hAnsi="Arial Nova" w:cs="Arial"/>
        </w:rPr>
      </w:pPr>
      <w:r w:rsidRPr="006242A6">
        <w:rPr>
          <w:rFonts w:ascii="Arial Nova" w:hAnsi="Arial Nova" w:cs="Arial"/>
          <w:b/>
        </w:rPr>
        <w:t xml:space="preserve">Sobreseimiento. </w:t>
      </w:r>
      <w:r w:rsidRPr="006242A6">
        <w:rPr>
          <w:rFonts w:ascii="Arial Nova" w:hAnsi="Arial Nova" w:cs="Arial"/>
        </w:rPr>
        <w:t xml:space="preserve">Se determina </w:t>
      </w:r>
      <w:r w:rsidRPr="006242A6">
        <w:rPr>
          <w:rFonts w:ascii="Arial Nova" w:hAnsi="Arial Nova" w:cs="Arial"/>
          <w:b/>
        </w:rPr>
        <w:t xml:space="preserve">sobreseer el </w:t>
      </w:r>
      <w:r>
        <w:rPr>
          <w:rFonts w:ascii="Arial Nova" w:hAnsi="Arial Nova" w:cs="Arial"/>
          <w:b/>
        </w:rPr>
        <w:t>j</w:t>
      </w:r>
      <w:r w:rsidRPr="006242A6">
        <w:rPr>
          <w:rFonts w:ascii="Arial Nova" w:hAnsi="Arial Nova" w:cs="Arial"/>
          <w:b/>
        </w:rPr>
        <w:t xml:space="preserve">uicio </w:t>
      </w:r>
      <w:r>
        <w:rPr>
          <w:rFonts w:ascii="Arial Nova" w:hAnsi="Arial Nova" w:cs="Arial"/>
          <w:b/>
        </w:rPr>
        <w:t>ciudadano</w:t>
      </w:r>
      <w:r w:rsidRPr="006242A6">
        <w:rPr>
          <w:rFonts w:ascii="Arial Nova" w:hAnsi="Arial Nova" w:cs="Arial"/>
          <w:b/>
        </w:rPr>
        <w:t xml:space="preserve">, </w:t>
      </w:r>
      <w:r w:rsidRPr="0068165B">
        <w:rPr>
          <w:rFonts w:ascii="Arial Nova" w:hAnsi="Arial Nova" w:cs="Arial"/>
        </w:rPr>
        <w:t xml:space="preserve">al actualizarse </w:t>
      </w:r>
      <w:r w:rsidRPr="006242A6">
        <w:rPr>
          <w:rFonts w:ascii="Arial Nova" w:hAnsi="Arial Nova" w:cs="Arial"/>
        </w:rPr>
        <w:t xml:space="preserve">la causal </w:t>
      </w:r>
      <w:r>
        <w:rPr>
          <w:rFonts w:ascii="Arial Nova" w:hAnsi="Arial Nova" w:cs="Arial"/>
        </w:rPr>
        <w:t>prevista</w:t>
      </w:r>
      <w:r w:rsidRPr="006242A6">
        <w:rPr>
          <w:rFonts w:ascii="Arial Nova" w:hAnsi="Arial Nova" w:cs="Arial"/>
        </w:rPr>
        <w:t xml:space="preserve"> en los artículos 305</w:t>
      </w:r>
      <w:r>
        <w:rPr>
          <w:rStyle w:val="Refdenotaalpie"/>
          <w:rFonts w:ascii="Arial Nova" w:eastAsiaTheme="minorEastAsia" w:hAnsi="Arial Nova" w:cs="Arial"/>
        </w:rPr>
        <w:footnoteReference w:id="5"/>
      </w:r>
      <w:r w:rsidRPr="006242A6">
        <w:rPr>
          <w:rFonts w:ascii="Arial Nova" w:hAnsi="Arial Nova" w:cs="Arial"/>
        </w:rPr>
        <w:t xml:space="preserve">, fracción II del </w:t>
      </w:r>
      <w:r>
        <w:rPr>
          <w:rFonts w:ascii="Arial Nova" w:hAnsi="Arial Nova" w:cs="Arial"/>
        </w:rPr>
        <w:t xml:space="preserve">Código </w:t>
      </w:r>
      <w:r>
        <w:rPr>
          <w:rFonts w:ascii="Arial Nova" w:hAnsi="Arial Nova" w:cs="Arial"/>
        </w:rPr>
        <w:lastRenderedPageBreak/>
        <w:t>Electoral</w:t>
      </w:r>
      <w:r w:rsidRPr="006242A6">
        <w:rPr>
          <w:rFonts w:ascii="Arial Nova" w:hAnsi="Arial Nova" w:cs="Arial"/>
        </w:rPr>
        <w:t xml:space="preserve">, </w:t>
      </w:r>
      <w:r>
        <w:rPr>
          <w:rFonts w:ascii="Arial Nova" w:hAnsi="Arial Nova" w:cs="Arial"/>
        </w:rPr>
        <w:t>110</w:t>
      </w:r>
      <w:r w:rsidRPr="006242A6">
        <w:rPr>
          <w:rFonts w:ascii="Arial Nova" w:hAnsi="Arial Nova" w:cs="Arial"/>
        </w:rPr>
        <w:t>, fracción II</w:t>
      </w:r>
      <w:r>
        <w:rPr>
          <w:rStyle w:val="Refdenotaalpie"/>
          <w:rFonts w:ascii="Arial Nova" w:eastAsiaTheme="minorEastAsia" w:hAnsi="Arial Nova" w:cs="Arial"/>
        </w:rPr>
        <w:footnoteReference w:id="6"/>
      </w:r>
      <w:r>
        <w:rPr>
          <w:rFonts w:ascii="Arial Nova" w:hAnsi="Arial Nova" w:cs="Arial"/>
        </w:rPr>
        <w:t xml:space="preserve">, </w:t>
      </w:r>
      <w:r w:rsidRPr="006242A6">
        <w:rPr>
          <w:rFonts w:ascii="Arial Nova" w:hAnsi="Arial Nova" w:cs="Arial"/>
        </w:rPr>
        <w:t>de</w:t>
      </w:r>
      <w:r>
        <w:rPr>
          <w:rFonts w:ascii="Arial Nova" w:hAnsi="Arial Nova" w:cs="Arial"/>
        </w:rPr>
        <w:t>l</w:t>
      </w:r>
      <w:r w:rsidRPr="006242A6">
        <w:rPr>
          <w:rFonts w:ascii="Arial Nova" w:hAnsi="Arial Nova" w:cs="Arial"/>
        </w:rPr>
        <w:t xml:space="preserve"> </w:t>
      </w:r>
      <w:r>
        <w:rPr>
          <w:rFonts w:ascii="Arial Nova" w:hAnsi="Arial Nova" w:cs="Arial"/>
        </w:rPr>
        <w:t>Reglamento Interior y 5º</w:t>
      </w:r>
      <w:r>
        <w:rPr>
          <w:rStyle w:val="Refdenotaalpie"/>
          <w:rFonts w:ascii="Arial Nova" w:eastAsiaTheme="minorEastAsia" w:hAnsi="Arial Nova" w:cs="Arial"/>
        </w:rPr>
        <w:footnoteReference w:id="7"/>
      </w:r>
      <w:r>
        <w:rPr>
          <w:rFonts w:ascii="Arial Nova" w:hAnsi="Arial Nova" w:cs="Arial"/>
        </w:rPr>
        <w:t>, de los Lineamientos</w:t>
      </w:r>
      <w:r w:rsidRPr="006242A6">
        <w:rPr>
          <w:rFonts w:ascii="Arial Nova" w:hAnsi="Arial Nova" w:cs="Arial"/>
        </w:rPr>
        <w:t xml:space="preserve">, </w:t>
      </w:r>
      <w:r>
        <w:rPr>
          <w:rFonts w:ascii="Arial Nova" w:hAnsi="Arial Nova" w:cs="Arial"/>
        </w:rPr>
        <w:t xml:space="preserve">por las razones que a continuación se exponen. </w:t>
      </w:r>
    </w:p>
    <w:p w:rsidR="00B254B3" w:rsidRPr="006242A6" w:rsidRDefault="00B254B3" w:rsidP="00B254B3">
      <w:pPr>
        <w:pStyle w:val="NormalWeb"/>
        <w:tabs>
          <w:tab w:val="left" w:pos="284"/>
        </w:tabs>
        <w:spacing w:line="360" w:lineRule="auto"/>
        <w:ind w:left="862" w:right="-2"/>
        <w:contextualSpacing/>
        <w:mirrorIndents/>
        <w:jc w:val="both"/>
        <w:rPr>
          <w:rFonts w:ascii="Arial Nova" w:hAnsi="Arial Nova" w:cs="Arial"/>
          <w:b/>
        </w:rPr>
      </w:pPr>
    </w:p>
    <w:p w:rsidR="00B254B3" w:rsidRDefault="00B254B3" w:rsidP="00B254B3">
      <w:pPr>
        <w:pStyle w:val="NormalWeb"/>
        <w:tabs>
          <w:tab w:val="left" w:pos="284"/>
        </w:tabs>
        <w:spacing w:line="360" w:lineRule="auto"/>
        <w:ind w:right="-2"/>
        <w:contextualSpacing/>
        <w:mirrorIndents/>
        <w:jc w:val="both"/>
        <w:rPr>
          <w:rFonts w:ascii="Arial Nova" w:hAnsi="Arial Nova" w:cs="Arial"/>
        </w:rPr>
      </w:pPr>
      <w:r w:rsidRPr="006242A6">
        <w:rPr>
          <w:rFonts w:ascii="Arial Nova" w:hAnsi="Arial Nova" w:cs="Arial"/>
        </w:rPr>
        <w:t xml:space="preserve">En los preceptos legales referidos en el párrafo que antecede, se establece que cuando la autoridad responsable del acto combatido, emita una nueva actuación que lo modifique o revoque, dejando sin materia la pretensión del promovente, antes que el Tribunal dicte sentencia, deberá sobreseerse el juicio incoado. </w:t>
      </w:r>
    </w:p>
    <w:p w:rsidR="00B254B3" w:rsidRDefault="00B254B3" w:rsidP="00B254B3">
      <w:pPr>
        <w:pStyle w:val="NormalWeb"/>
        <w:tabs>
          <w:tab w:val="left" w:pos="284"/>
        </w:tabs>
        <w:spacing w:line="360" w:lineRule="auto"/>
        <w:ind w:right="-2"/>
        <w:contextualSpacing/>
        <w:mirrorIndents/>
        <w:jc w:val="both"/>
        <w:rPr>
          <w:rFonts w:ascii="Arial Nova" w:hAnsi="Arial Nova" w:cs="Arial"/>
        </w:rPr>
      </w:pPr>
    </w:p>
    <w:p w:rsidR="00B254B3" w:rsidRDefault="00B254B3" w:rsidP="00B254B3">
      <w:pPr>
        <w:pStyle w:val="NormalWeb"/>
        <w:tabs>
          <w:tab w:val="left" w:pos="284"/>
        </w:tabs>
        <w:spacing w:line="360" w:lineRule="auto"/>
        <w:ind w:right="-2"/>
        <w:contextualSpacing/>
        <w:mirrorIndents/>
        <w:jc w:val="both"/>
        <w:rPr>
          <w:rFonts w:ascii="Arial Nova" w:hAnsi="Arial Nova" w:cs="Arial"/>
        </w:rPr>
      </w:pPr>
      <w:r w:rsidRPr="006242A6">
        <w:rPr>
          <w:rFonts w:ascii="Arial Nova" w:hAnsi="Arial Nova" w:cs="Arial"/>
        </w:rPr>
        <w:t>Como se puede apreciar en el contenido de la norma, la causal de improcedencia que se actualiza tiene dos elementos, por un lado, que la autoridad responsable modifique o revoque el acto del cual se origina la litis, y por otro, que la determinación deje sin materia el juicio antes del dictado de la sentencia.</w:t>
      </w:r>
    </w:p>
    <w:p w:rsidR="00B254B3" w:rsidRDefault="00B254B3" w:rsidP="00D02475">
      <w:pPr>
        <w:pStyle w:val="NormalWeb"/>
        <w:tabs>
          <w:tab w:val="left" w:pos="284"/>
        </w:tabs>
        <w:spacing w:line="360" w:lineRule="auto"/>
        <w:ind w:right="-2"/>
        <w:contextualSpacing/>
        <w:mirrorIndents/>
        <w:jc w:val="both"/>
        <w:rPr>
          <w:rFonts w:ascii="Arial Nova" w:hAnsi="Arial Nova" w:cs="Arial"/>
        </w:rPr>
      </w:pPr>
    </w:p>
    <w:p w:rsidR="00B254B3" w:rsidRPr="006242A6" w:rsidRDefault="00B254B3" w:rsidP="00B254B3">
      <w:pPr>
        <w:pStyle w:val="NormalWeb"/>
        <w:tabs>
          <w:tab w:val="left" w:pos="284"/>
        </w:tabs>
        <w:spacing w:line="360" w:lineRule="auto"/>
        <w:ind w:right="-2"/>
        <w:contextualSpacing/>
        <w:mirrorIndents/>
        <w:jc w:val="both"/>
        <w:rPr>
          <w:rFonts w:ascii="Arial Nova" w:hAnsi="Arial Nova" w:cs="Arial"/>
        </w:rPr>
      </w:pPr>
      <w:r w:rsidRPr="006242A6">
        <w:rPr>
          <w:rFonts w:ascii="Arial Nova" w:hAnsi="Arial Nova" w:cs="Arial"/>
        </w:rPr>
        <w:t xml:space="preserve">En el caso concreto, si bien </w:t>
      </w:r>
      <w:r w:rsidR="000F4258">
        <w:rPr>
          <w:rFonts w:ascii="Arial Nova" w:hAnsi="Arial Nova" w:cs="Arial"/>
        </w:rPr>
        <w:t xml:space="preserve">la </w:t>
      </w:r>
      <w:r w:rsidR="00013E10">
        <w:rPr>
          <w:rFonts w:ascii="Arial Nova" w:hAnsi="Arial Nova" w:cs="Arial"/>
        </w:rPr>
        <w:t xml:space="preserve">Sala Monterrey ordena a este </w:t>
      </w:r>
      <w:r w:rsidR="000F4258">
        <w:rPr>
          <w:rFonts w:ascii="Arial Nova" w:hAnsi="Arial Nova" w:cs="Arial"/>
        </w:rPr>
        <w:t>órgano</w:t>
      </w:r>
      <w:r w:rsidR="00013E10">
        <w:rPr>
          <w:rFonts w:ascii="Arial Nova" w:hAnsi="Arial Nova" w:cs="Arial"/>
        </w:rPr>
        <w:t xml:space="preserve"> </w:t>
      </w:r>
      <w:r w:rsidR="000E3872">
        <w:rPr>
          <w:rFonts w:ascii="Arial Nova" w:hAnsi="Arial Nova" w:cs="Arial"/>
        </w:rPr>
        <w:t>jurisdiccional</w:t>
      </w:r>
      <w:r w:rsidR="00013E10">
        <w:rPr>
          <w:rFonts w:ascii="Arial Nova" w:hAnsi="Arial Nova" w:cs="Arial"/>
        </w:rPr>
        <w:t xml:space="preserve"> </w:t>
      </w:r>
      <w:r w:rsidR="000E3872">
        <w:rPr>
          <w:rFonts w:ascii="Arial Nova" w:hAnsi="Arial Nova" w:cs="Arial"/>
        </w:rPr>
        <w:t>conocer</w:t>
      </w:r>
      <w:r w:rsidR="000F4258">
        <w:rPr>
          <w:rFonts w:ascii="Arial Nova" w:hAnsi="Arial Nova" w:cs="Arial"/>
        </w:rPr>
        <w:t xml:space="preserve"> </w:t>
      </w:r>
      <w:r w:rsidR="00013E10">
        <w:rPr>
          <w:rFonts w:ascii="Arial Nova" w:hAnsi="Arial Nova" w:cs="Arial"/>
        </w:rPr>
        <w:t xml:space="preserve">sobre un Acuerdo por parte de la autoridad responsable que </w:t>
      </w:r>
      <w:r w:rsidR="000F4258">
        <w:rPr>
          <w:rFonts w:ascii="Arial Nova" w:hAnsi="Arial Nova" w:cs="Arial"/>
        </w:rPr>
        <w:t>tiene</w:t>
      </w:r>
      <w:r w:rsidR="00013E10">
        <w:rPr>
          <w:rFonts w:ascii="Arial Nova" w:hAnsi="Arial Nova" w:cs="Arial"/>
        </w:rPr>
        <w:t xml:space="preserve"> por no presentado un medio </w:t>
      </w:r>
      <w:r w:rsidR="000F4258">
        <w:rPr>
          <w:rFonts w:ascii="Arial Nova" w:hAnsi="Arial Nova" w:cs="Arial"/>
        </w:rPr>
        <w:t>de impugnación</w:t>
      </w:r>
      <w:r w:rsidR="00013E10">
        <w:rPr>
          <w:rFonts w:ascii="Arial Nova" w:hAnsi="Arial Nova" w:cs="Arial"/>
        </w:rPr>
        <w:t xml:space="preserve"> </w:t>
      </w:r>
      <w:r w:rsidR="000F4258">
        <w:rPr>
          <w:rFonts w:ascii="Arial Nova" w:hAnsi="Arial Nova" w:cs="Arial"/>
        </w:rPr>
        <w:t>interno</w:t>
      </w:r>
      <w:r w:rsidR="00013E10">
        <w:rPr>
          <w:rFonts w:ascii="Arial Nova" w:hAnsi="Arial Nova" w:cs="Arial"/>
        </w:rPr>
        <w:t>,</w:t>
      </w:r>
      <w:r w:rsidR="000E3872">
        <w:rPr>
          <w:rFonts w:ascii="Arial Nova" w:hAnsi="Arial Nova" w:cs="Arial"/>
        </w:rPr>
        <w:t xml:space="preserve"> resulta que el veintisiete de </w:t>
      </w:r>
      <w:r w:rsidR="00214319">
        <w:rPr>
          <w:rFonts w:ascii="Arial Nova" w:hAnsi="Arial Nova" w:cs="Arial"/>
        </w:rPr>
        <w:t>marzo</w:t>
      </w:r>
      <w:r w:rsidR="000E3872">
        <w:rPr>
          <w:rFonts w:ascii="Arial Nova" w:hAnsi="Arial Nova" w:cs="Arial"/>
        </w:rPr>
        <w:t xml:space="preserve"> del presente, este Tribunal dictó sentencia en la que, en un juicio promovido por el mismo Israel Ortega González, se resolvió lo siguiente; </w:t>
      </w:r>
    </w:p>
    <w:p w:rsidR="00B254B3" w:rsidRDefault="00B254B3" w:rsidP="00B254B3">
      <w:pPr>
        <w:pStyle w:val="NormalWeb"/>
        <w:tabs>
          <w:tab w:val="left" w:pos="284"/>
        </w:tabs>
        <w:spacing w:line="360" w:lineRule="auto"/>
        <w:ind w:right="-2"/>
        <w:contextualSpacing/>
        <w:mirrorIndents/>
        <w:jc w:val="both"/>
        <w:rPr>
          <w:rFonts w:ascii="Arial Nova" w:hAnsi="Arial Nova" w:cs="Arial"/>
        </w:rPr>
      </w:pPr>
    </w:p>
    <w:p w:rsidR="0069503B" w:rsidRPr="008D5012" w:rsidRDefault="0069503B" w:rsidP="00D21048">
      <w:pPr>
        <w:pStyle w:val="NormalWeb"/>
        <w:tabs>
          <w:tab w:val="left" w:pos="284"/>
        </w:tabs>
        <w:spacing w:line="360" w:lineRule="auto"/>
        <w:ind w:left="708" w:right="-2"/>
        <w:contextualSpacing/>
        <w:mirrorIndents/>
        <w:jc w:val="both"/>
        <w:rPr>
          <w:rFonts w:ascii="Arial" w:hAnsi="Arial" w:cs="Arial"/>
          <w:b/>
          <w:i/>
          <w:sz w:val="22"/>
        </w:rPr>
      </w:pPr>
      <w:r w:rsidRPr="008D5012">
        <w:rPr>
          <w:rFonts w:ascii="Arial" w:hAnsi="Arial" w:cs="Arial"/>
          <w:b/>
          <w:i/>
          <w:sz w:val="22"/>
        </w:rPr>
        <w:t>9. RESOLUTIVOS.</w:t>
      </w:r>
    </w:p>
    <w:p w:rsidR="0069503B" w:rsidRPr="008D5012" w:rsidRDefault="0069503B" w:rsidP="00D21048">
      <w:pPr>
        <w:pStyle w:val="NormalWeb"/>
        <w:tabs>
          <w:tab w:val="left" w:pos="284"/>
        </w:tabs>
        <w:spacing w:line="360" w:lineRule="auto"/>
        <w:ind w:left="708" w:right="-2"/>
        <w:contextualSpacing/>
        <w:mirrorIndents/>
        <w:jc w:val="both"/>
        <w:rPr>
          <w:rFonts w:ascii="Arial" w:hAnsi="Arial" w:cs="Arial"/>
          <w:b/>
          <w:i/>
          <w:sz w:val="22"/>
        </w:rPr>
      </w:pPr>
      <w:r w:rsidRPr="008D5012">
        <w:rPr>
          <w:rFonts w:ascii="Arial" w:hAnsi="Arial" w:cs="Arial"/>
          <w:b/>
          <w:i/>
          <w:sz w:val="22"/>
        </w:rPr>
        <w:t>...</w:t>
      </w:r>
    </w:p>
    <w:p w:rsidR="0069503B" w:rsidRPr="00D21048" w:rsidRDefault="008D5012" w:rsidP="00D21048">
      <w:pPr>
        <w:pStyle w:val="NormalWeb"/>
        <w:tabs>
          <w:tab w:val="left" w:pos="284"/>
        </w:tabs>
        <w:spacing w:line="360" w:lineRule="auto"/>
        <w:ind w:left="708" w:right="-2"/>
        <w:contextualSpacing/>
        <w:mirrorIndents/>
        <w:jc w:val="both"/>
        <w:rPr>
          <w:rFonts w:ascii="Arial" w:hAnsi="Arial" w:cs="Arial"/>
          <w:i/>
          <w:sz w:val="22"/>
        </w:rPr>
      </w:pPr>
      <w:r w:rsidRPr="008D5012">
        <w:rPr>
          <w:rFonts w:ascii="Arial" w:hAnsi="Arial" w:cs="Arial"/>
          <w:b/>
          <w:i/>
          <w:sz w:val="22"/>
        </w:rPr>
        <w:t>SEGUNDO. -</w:t>
      </w:r>
      <w:r w:rsidR="000F4258" w:rsidRPr="00D21048">
        <w:rPr>
          <w:rFonts w:ascii="Arial" w:hAnsi="Arial" w:cs="Arial"/>
          <w:i/>
          <w:sz w:val="22"/>
        </w:rPr>
        <w:t xml:space="preserve"> Se revocan los Acuerdos de Improcedencia emitidos por la Comisión Nacional de Honestidad y Justicia de MORENA, en los procedimientos partidistas CNHJ-AGS-171/2019 y CNHJ-AGS-172/2019, promovidos por los ciudadanos Israel Ortega González y Francisco Gabriel Arellano Espinosa. </w:t>
      </w:r>
    </w:p>
    <w:p w:rsidR="0069503B" w:rsidRPr="00D21048" w:rsidRDefault="0069503B" w:rsidP="00D21048">
      <w:pPr>
        <w:pStyle w:val="NormalWeb"/>
        <w:tabs>
          <w:tab w:val="left" w:pos="284"/>
        </w:tabs>
        <w:spacing w:line="360" w:lineRule="auto"/>
        <w:ind w:left="708" w:right="-2"/>
        <w:contextualSpacing/>
        <w:mirrorIndents/>
        <w:jc w:val="both"/>
        <w:rPr>
          <w:rFonts w:ascii="Arial" w:hAnsi="Arial" w:cs="Arial"/>
          <w:i/>
          <w:sz w:val="22"/>
        </w:rPr>
      </w:pPr>
    </w:p>
    <w:p w:rsidR="0069503B" w:rsidRPr="00D21048" w:rsidRDefault="008D5012" w:rsidP="00D21048">
      <w:pPr>
        <w:pStyle w:val="NormalWeb"/>
        <w:tabs>
          <w:tab w:val="left" w:pos="284"/>
        </w:tabs>
        <w:spacing w:line="360" w:lineRule="auto"/>
        <w:ind w:left="708" w:right="-2"/>
        <w:contextualSpacing/>
        <w:mirrorIndents/>
        <w:jc w:val="both"/>
        <w:rPr>
          <w:rFonts w:ascii="Arial" w:hAnsi="Arial" w:cs="Arial"/>
          <w:i/>
          <w:sz w:val="22"/>
        </w:rPr>
      </w:pPr>
      <w:r w:rsidRPr="008D5012">
        <w:rPr>
          <w:rFonts w:ascii="Arial" w:hAnsi="Arial" w:cs="Arial"/>
          <w:b/>
          <w:i/>
          <w:sz w:val="22"/>
        </w:rPr>
        <w:t>TERCERO.</w:t>
      </w:r>
      <w:r>
        <w:rPr>
          <w:rFonts w:ascii="Arial" w:hAnsi="Arial" w:cs="Arial"/>
          <w:b/>
          <w:i/>
          <w:sz w:val="22"/>
        </w:rPr>
        <w:t xml:space="preserve"> -</w:t>
      </w:r>
      <w:r w:rsidR="000F4258" w:rsidRPr="00D21048">
        <w:rPr>
          <w:rFonts w:ascii="Arial" w:hAnsi="Arial" w:cs="Arial"/>
          <w:i/>
          <w:sz w:val="22"/>
        </w:rPr>
        <w:t xml:space="preserve"> Se revocan las Resoluciones emitidos por la Comisión Nacional de Honestidad y Justicia de MORENA, en los procedimientos partidistas CNHJ-AGS-159/2019, CNHJ-AGS-161/2019 y CNHJ-AGS-165, interpuestos por los ciudadanos David Alejandro de la Cruz Gutiérrez, Ernesto Antonio Mercher Gálvez y Marco Antonio Martínez Proa. </w:t>
      </w:r>
    </w:p>
    <w:p w:rsidR="0069503B" w:rsidRPr="00D21048" w:rsidRDefault="0069503B" w:rsidP="00D21048">
      <w:pPr>
        <w:pStyle w:val="NormalWeb"/>
        <w:tabs>
          <w:tab w:val="left" w:pos="284"/>
        </w:tabs>
        <w:spacing w:line="360" w:lineRule="auto"/>
        <w:ind w:left="708" w:right="-2"/>
        <w:contextualSpacing/>
        <w:mirrorIndents/>
        <w:jc w:val="both"/>
        <w:rPr>
          <w:rFonts w:ascii="Arial" w:hAnsi="Arial" w:cs="Arial"/>
          <w:i/>
          <w:sz w:val="22"/>
        </w:rPr>
      </w:pPr>
    </w:p>
    <w:p w:rsidR="000F4258" w:rsidRPr="00D21048" w:rsidRDefault="008D5012" w:rsidP="00D21048">
      <w:pPr>
        <w:pStyle w:val="NormalWeb"/>
        <w:tabs>
          <w:tab w:val="left" w:pos="284"/>
        </w:tabs>
        <w:spacing w:line="360" w:lineRule="auto"/>
        <w:ind w:left="708" w:right="-2"/>
        <w:contextualSpacing/>
        <w:mirrorIndents/>
        <w:jc w:val="both"/>
        <w:rPr>
          <w:rFonts w:ascii="Arial" w:hAnsi="Arial" w:cs="Arial"/>
          <w:i/>
          <w:sz w:val="22"/>
        </w:rPr>
      </w:pPr>
      <w:r w:rsidRPr="008D5012">
        <w:rPr>
          <w:rFonts w:ascii="Arial" w:hAnsi="Arial" w:cs="Arial"/>
          <w:b/>
          <w:i/>
          <w:sz w:val="22"/>
        </w:rPr>
        <w:t>CUARTO. -</w:t>
      </w:r>
      <w:r w:rsidR="000F4258" w:rsidRPr="00D21048">
        <w:rPr>
          <w:rFonts w:ascii="Arial" w:hAnsi="Arial" w:cs="Arial"/>
          <w:i/>
          <w:sz w:val="22"/>
        </w:rPr>
        <w:t xml:space="preserve"> Se revoca el Dictamen impugnado, en la parte conducente y se requiere a la Comisión Nacional de Elecciones de MORENA, para que emita una nueva determinación en la que de manera fundada y motivada establezca si procede o no el registro de los ciudadanos Ernesto Antonio Mercher Gálvez, Francisco Gabriel Arellano Espinosa, David Alejandro de la Cruz Gutiérrez, Marco Antonio Martínez Proa e Israel Ortega González, en términos de lo expuesto en la presente sentencia.</w:t>
      </w:r>
    </w:p>
    <w:p w:rsidR="000F4258" w:rsidRDefault="000F4258" w:rsidP="00B254B3">
      <w:pPr>
        <w:pStyle w:val="NormalWeb"/>
        <w:tabs>
          <w:tab w:val="left" w:pos="284"/>
        </w:tabs>
        <w:spacing w:line="360" w:lineRule="auto"/>
        <w:ind w:right="-2"/>
        <w:contextualSpacing/>
        <w:mirrorIndents/>
        <w:jc w:val="both"/>
        <w:rPr>
          <w:rFonts w:ascii="Arial Nova" w:hAnsi="Arial Nova" w:cs="Arial"/>
        </w:rPr>
      </w:pPr>
    </w:p>
    <w:p w:rsidR="00B254B3" w:rsidRDefault="00335DD8" w:rsidP="004F116D">
      <w:pPr>
        <w:pStyle w:val="NormalWeb"/>
        <w:tabs>
          <w:tab w:val="left" w:pos="284"/>
        </w:tabs>
        <w:spacing w:line="360" w:lineRule="auto"/>
        <w:ind w:right="-2"/>
        <w:contextualSpacing/>
        <w:mirrorIndents/>
        <w:jc w:val="both"/>
        <w:rPr>
          <w:rFonts w:ascii="Arial Nova" w:hAnsi="Arial Nova" w:cs="Arial"/>
          <w:bCs/>
        </w:rPr>
      </w:pPr>
      <w:r>
        <w:rPr>
          <w:rFonts w:ascii="Arial Nova" w:hAnsi="Arial Nova" w:cs="Arial"/>
        </w:rPr>
        <w:t xml:space="preserve">De esta manera, y al </w:t>
      </w:r>
      <w:r w:rsidR="00EF7307">
        <w:rPr>
          <w:rFonts w:ascii="Arial Nova" w:hAnsi="Arial Nova" w:cs="Arial"/>
        </w:rPr>
        <w:t>advertirse que</w:t>
      </w:r>
      <w:r w:rsidR="00B254B3" w:rsidRPr="006242A6">
        <w:rPr>
          <w:rFonts w:ascii="Arial Nova" w:hAnsi="Arial Nova" w:cs="Arial"/>
        </w:rPr>
        <w:t xml:space="preserve"> la intención</w:t>
      </w:r>
      <w:r w:rsidR="00EF7307">
        <w:rPr>
          <w:rFonts w:ascii="Arial Nova" w:hAnsi="Arial Nova" w:cs="Arial"/>
        </w:rPr>
        <w:t xml:space="preserve"> final</w:t>
      </w:r>
      <w:r w:rsidR="00B254B3" w:rsidRPr="006242A6">
        <w:rPr>
          <w:rFonts w:ascii="Arial Nova" w:hAnsi="Arial Nova" w:cs="Arial"/>
        </w:rPr>
        <w:t xml:space="preserve"> </w:t>
      </w:r>
      <w:r w:rsidR="00B254B3">
        <w:rPr>
          <w:rFonts w:ascii="Arial Nova" w:hAnsi="Arial Nova" w:cs="Arial"/>
        </w:rPr>
        <w:t xml:space="preserve">del promovente, </w:t>
      </w:r>
      <w:r w:rsidR="00EF7307">
        <w:rPr>
          <w:rFonts w:ascii="Arial Nova" w:hAnsi="Arial Nova" w:cs="Arial"/>
        </w:rPr>
        <w:t xml:space="preserve">es </w:t>
      </w:r>
      <w:r w:rsidR="00B254B3" w:rsidRPr="006242A6">
        <w:rPr>
          <w:rFonts w:ascii="Arial Nova" w:hAnsi="Arial Nova" w:cs="Arial"/>
        </w:rPr>
        <w:t>ser incluido en la lista de solicitudes de registro aprobadas en el Dictamen, y</w:t>
      </w:r>
      <w:r w:rsidR="00EF7307">
        <w:rPr>
          <w:rFonts w:ascii="Arial Nova" w:hAnsi="Arial Nova" w:cs="Arial"/>
        </w:rPr>
        <w:t xml:space="preserve"> al </w:t>
      </w:r>
      <w:r w:rsidR="000B65E0">
        <w:rPr>
          <w:rFonts w:ascii="Arial Nova" w:hAnsi="Arial Nova" w:cs="Arial"/>
        </w:rPr>
        <w:t>ordenarse</w:t>
      </w:r>
      <w:r w:rsidR="00EF7307">
        <w:rPr>
          <w:rFonts w:ascii="Arial Nova" w:hAnsi="Arial Nova" w:cs="Arial"/>
        </w:rPr>
        <w:t xml:space="preserve"> por este Tribunal, la revocación de los </w:t>
      </w:r>
      <w:r w:rsidR="000B65E0">
        <w:rPr>
          <w:rFonts w:ascii="Arial Nova" w:hAnsi="Arial Nova" w:cs="Arial"/>
        </w:rPr>
        <w:t>dictámenes</w:t>
      </w:r>
      <w:r w:rsidR="00EF7307">
        <w:rPr>
          <w:rFonts w:ascii="Arial Nova" w:hAnsi="Arial Nova" w:cs="Arial"/>
        </w:rPr>
        <w:t xml:space="preserve"> con el efecto de que se funden y motiven las aprobaciones de las candidaturas</w:t>
      </w:r>
      <w:r w:rsidR="000B65E0">
        <w:rPr>
          <w:rFonts w:ascii="Arial Nova" w:hAnsi="Arial Nova" w:cs="Arial"/>
        </w:rPr>
        <w:t>,</w:t>
      </w:r>
      <w:r w:rsidR="00885654">
        <w:rPr>
          <w:rFonts w:ascii="Arial Nova" w:hAnsi="Arial Nova" w:cs="Arial"/>
        </w:rPr>
        <w:t xml:space="preserve"> </w:t>
      </w:r>
      <w:r w:rsidR="00E26BA9">
        <w:rPr>
          <w:rFonts w:ascii="Arial Nova" w:hAnsi="Arial Nova" w:cs="Arial"/>
        </w:rPr>
        <w:t xml:space="preserve">con </w:t>
      </w:r>
      <w:r w:rsidR="00B254B3" w:rsidRPr="006242A6">
        <w:rPr>
          <w:rFonts w:ascii="Arial Nova" w:hAnsi="Arial Nova" w:cs="Arial"/>
        </w:rPr>
        <w:t xml:space="preserve">sustento en la </w:t>
      </w:r>
      <w:r w:rsidR="00B254B3" w:rsidRPr="009546CE">
        <w:rPr>
          <w:rFonts w:ascii="Arial Nova" w:hAnsi="Arial Nova" w:cs="Arial"/>
          <w:b/>
        </w:rPr>
        <w:t>Jurisprudencia</w:t>
      </w:r>
      <w:r w:rsidR="00B254B3" w:rsidRPr="006242A6">
        <w:rPr>
          <w:rFonts w:ascii="Arial Nova" w:hAnsi="Arial Nova" w:cs="Arial"/>
        </w:rPr>
        <w:t xml:space="preserve"> </w:t>
      </w:r>
      <w:r w:rsidR="00B254B3" w:rsidRPr="006242A6">
        <w:rPr>
          <w:rFonts w:ascii="Arial Nova" w:hAnsi="Arial Nova" w:cs="Arial"/>
          <w:b/>
        </w:rPr>
        <w:t>34/2002</w:t>
      </w:r>
      <w:r w:rsidR="00B254B3" w:rsidRPr="006242A6">
        <w:rPr>
          <w:rFonts w:ascii="Arial Nova" w:hAnsi="Arial Nova" w:cs="Arial"/>
        </w:rPr>
        <w:t xml:space="preserve"> de rubro</w:t>
      </w:r>
      <w:r w:rsidR="00B254B3">
        <w:rPr>
          <w:rFonts w:ascii="Arial Nova" w:hAnsi="Arial Nova" w:cs="Arial"/>
        </w:rPr>
        <w:t>:</w:t>
      </w:r>
      <w:r w:rsidR="00B254B3" w:rsidRPr="006242A6">
        <w:rPr>
          <w:rFonts w:ascii="Arial Nova" w:hAnsi="Arial Nova" w:cs="Arial"/>
        </w:rPr>
        <w:t xml:space="preserve"> </w:t>
      </w:r>
      <w:r w:rsidR="00B254B3" w:rsidRPr="006242A6">
        <w:rPr>
          <w:rFonts w:ascii="Arial Nova" w:hAnsi="Arial Nova" w:cs="Arial"/>
          <w:b/>
        </w:rPr>
        <w:t>IMPROCEDENCIA. EL MERO HECHO DE QUEDAR SIN MATERIA EL PROCEDIMIENTO ACTUALIZA LA CAUSAL RESPECTIVA</w:t>
      </w:r>
      <w:r w:rsidR="00E26BA9">
        <w:rPr>
          <w:rFonts w:ascii="Arial Nova" w:hAnsi="Arial Nova" w:cs="Arial"/>
          <w:b/>
        </w:rPr>
        <w:t>,</w:t>
      </w:r>
      <w:r w:rsidR="00B254B3" w:rsidRPr="006242A6">
        <w:rPr>
          <w:rStyle w:val="Refdenotaalpie"/>
          <w:rFonts w:ascii="Arial Nova" w:hAnsi="Arial Nova" w:cs="Arial"/>
        </w:rPr>
        <w:footnoteReference w:id="8"/>
      </w:r>
      <w:r w:rsidR="00B254B3" w:rsidRPr="006242A6">
        <w:rPr>
          <w:rFonts w:ascii="Arial Nova" w:hAnsi="Arial Nova" w:cs="Arial"/>
          <w:b/>
        </w:rPr>
        <w:t xml:space="preserve"> </w:t>
      </w:r>
      <w:r w:rsidR="00E26BA9">
        <w:rPr>
          <w:rFonts w:ascii="Arial Nova" w:hAnsi="Arial Nova" w:cs="Arial"/>
        </w:rPr>
        <w:t>se determina</w:t>
      </w:r>
      <w:r w:rsidR="00B254B3" w:rsidRPr="006242A6">
        <w:rPr>
          <w:rFonts w:ascii="Arial Nova" w:hAnsi="Arial Nova" w:cs="Arial"/>
        </w:rPr>
        <w:t xml:space="preserve"> </w:t>
      </w:r>
      <w:r w:rsidR="00E26BA9">
        <w:rPr>
          <w:rFonts w:ascii="Arial Nova" w:hAnsi="Arial Nova" w:cs="Arial"/>
        </w:rPr>
        <w:t xml:space="preserve">que </w:t>
      </w:r>
      <w:r w:rsidR="00B254B3" w:rsidRPr="006242A6">
        <w:rPr>
          <w:rFonts w:ascii="Arial Nova" w:hAnsi="Arial Nova" w:cs="Arial"/>
        </w:rPr>
        <w:t xml:space="preserve">con </w:t>
      </w:r>
      <w:r w:rsidR="00993C02">
        <w:rPr>
          <w:rFonts w:ascii="Arial Nova" w:hAnsi="Arial Nova" w:cs="Arial"/>
        </w:rPr>
        <w:t>el surgimiento de la</w:t>
      </w:r>
      <w:r w:rsidR="0024389F">
        <w:rPr>
          <w:rFonts w:ascii="Arial Nova" w:hAnsi="Arial Nova" w:cs="Arial"/>
        </w:rPr>
        <w:t xml:space="preserve"> resolución </w:t>
      </w:r>
      <w:r w:rsidR="00F57711" w:rsidRPr="00F57711">
        <w:rPr>
          <w:rFonts w:ascii="Arial Nova" w:hAnsi="Arial Nova" w:cs="Arial"/>
        </w:rPr>
        <w:t>TEEA-JDC-020/2019 y acumulados</w:t>
      </w:r>
      <w:r w:rsidR="00F57711">
        <w:rPr>
          <w:rFonts w:ascii="Arial Nova" w:hAnsi="Arial Nova" w:cs="Arial"/>
        </w:rPr>
        <w:t xml:space="preserve">, </w:t>
      </w:r>
      <w:r w:rsidR="0024389F">
        <w:rPr>
          <w:rFonts w:ascii="Arial Nova" w:hAnsi="Arial Nova" w:cs="Arial"/>
        </w:rPr>
        <w:t>que</w:t>
      </w:r>
      <w:r w:rsidR="00B254B3" w:rsidRPr="006242A6">
        <w:rPr>
          <w:rFonts w:ascii="Arial Nova" w:hAnsi="Arial Nova" w:cs="Arial"/>
        </w:rPr>
        <w:t xml:space="preserve"> </w:t>
      </w:r>
      <w:r w:rsidR="00F57711">
        <w:rPr>
          <w:rFonts w:ascii="Arial Nova" w:hAnsi="Arial Nova" w:cs="Arial"/>
        </w:rPr>
        <w:t xml:space="preserve">revocó las resoluciones y </w:t>
      </w:r>
      <w:r w:rsidR="00E75AB3">
        <w:rPr>
          <w:rFonts w:ascii="Arial Nova" w:hAnsi="Arial Nova" w:cs="Arial"/>
        </w:rPr>
        <w:t>dictámenes</w:t>
      </w:r>
      <w:r w:rsidR="00F57711">
        <w:rPr>
          <w:rFonts w:ascii="Arial Nova" w:hAnsi="Arial Nova" w:cs="Arial"/>
        </w:rPr>
        <w:t xml:space="preserve"> generadoras de los litigios</w:t>
      </w:r>
      <w:r w:rsidR="00B254B3" w:rsidRPr="006242A6">
        <w:rPr>
          <w:rFonts w:ascii="Arial Nova" w:hAnsi="Arial Nova" w:cs="Arial"/>
        </w:rPr>
        <w:t xml:space="preserve">, la controversia queda sin materia, </w:t>
      </w:r>
      <w:r w:rsidR="00B254B3">
        <w:rPr>
          <w:rFonts w:ascii="Arial Nova" w:hAnsi="Arial Nova" w:cs="Arial"/>
        </w:rPr>
        <w:t>por</w:t>
      </w:r>
      <w:r w:rsidR="00B254B3" w:rsidRPr="006242A6">
        <w:rPr>
          <w:rFonts w:ascii="Arial Nova" w:hAnsi="Arial Nova" w:cs="Arial"/>
        </w:rPr>
        <w:t xml:space="preserve"> lo </w:t>
      </w:r>
      <w:r w:rsidR="001B42B5">
        <w:rPr>
          <w:rFonts w:ascii="Arial Nova" w:hAnsi="Arial Nova" w:cs="Arial"/>
        </w:rPr>
        <w:t xml:space="preserve">que </w:t>
      </w:r>
      <w:r w:rsidR="00B254B3">
        <w:rPr>
          <w:rFonts w:ascii="Arial Nova" w:hAnsi="Arial Nova" w:cs="Arial"/>
        </w:rPr>
        <w:t>resulta procedente</w:t>
      </w:r>
      <w:r w:rsidR="00B254B3" w:rsidRPr="006242A6">
        <w:rPr>
          <w:rFonts w:ascii="Arial Nova" w:hAnsi="Arial Nova" w:cs="Arial"/>
        </w:rPr>
        <w:t xml:space="preserve"> darlo por concluido sin entrar al fondo, </w:t>
      </w:r>
      <w:r w:rsidR="00AE03AE">
        <w:rPr>
          <w:rFonts w:ascii="Arial Nova" w:hAnsi="Arial Nova" w:cs="Arial"/>
        </w:rPr>
        <w:t>a través de la figura del</w:t>
      </w:r>
      <w:r w:rsidR="00B254B3" w:rsidRPr="006242A6">
        <w:rPr>
          <w:rFonts w:ascii="Arial Nova" w:hAnsi="Arial Nova" w:cs="Arial"/>
          <w:bCs/>
        </w:rPr>
        <w:t xml:space="preserve"> sobreseimiento.</w:t>
      </w:r>
    </w:p>
    <w:p w:rsidR="00E26BA9" w:rsidRPr="006242A6" w:rsidRDefault="00E26BA9" w:rsidP="00E26BA9">
      <w:pPr>
        <w:pStyle w:val="NormalWeb"/>
        <w:tabs>
          <w:tab w:val="left" w:pos="284"/>
        </w:tabs>
        <w:spacing w:line="360" w:lineRule="auto"/>
        <w:ind w:right="-2"/>
        <w:contextualSpacing/>
        <w:mirrorIndents/>
        <w:jc w:val="both"/>
        <w:rPr>
          <w:rFonts w:ascii="Arial Nova" w:hAnsi="Arial Nova" w:cs="Arial"/>
        </w:rPr>
      </w:pPr>
    </w:p>
    <w:p w:rsidR="00B254B3" w:rsidRPr="006242A6" w:rsidRDefault="001B42B5" w:rsidP="005F0879">
      <w:pPr>
        <w:pStyle w:val="NormalWeb"/>
        <w:tabs>
          <w:tab w:val="left" w:pos="284"/>
        </w:tabs>
        <w:spacing w:line="360" w:lineRule="auto"/>
        <w:contextualSpacing/>
        <w:mirrorIndents/>
        <w:jc w:val="both"/>
        <w:rPr>
          <w:rFonts w:ascii="Arial Nova" w:hAnsi="Arial Nova" w:cs="Arial"/>
        </w:rPr>
      </w:pPr>
      <w:r>
        <w:rPr>
          <w:rFonts w:ascii="Arial Nova" w:hAnsi="Arial Nova" w:cs="Arial"/>
        </w:rPr>
        <w:t>Debe</w:t>
      </w:r>
      <w:r w:rsidR="00B254B3">
        <w:rPr>
          <w:rFonts w:ascii="Arial Nova" w:hAnsi="Arial Nova" w:cs="Arial"/>
        </w:rPr>
        <w:t xml:space="preserve"> tenerse en cuenta que </w:t>
      </w:r>
      <w:r w:rsidR="00B254B3" w:rsidRPr="006242A6">
        <w:rPr>
          <w:rFonts w:ascii="Arial Nova" w:hAnsi="Arial Nova" w:cs="Arial"/>
        </w:rPr>
        <w:t xml:space="preserve">el </w:t>
      </w:r>
      <w:r w:rsidR="00B254B3">
        <w:rPr>
          <w:rFonts w:ascii="Arial Nova" w:hAnsi="Arial Nova" w:cs="Arial"/>
        </w:rPr>
        <w:t>j</w:t>
      </w:r>
      <w:r w:rsidR="00B254B3" w:rsidRPr="006242A6">
        <w:rPr>
          <w:rFonts w:ascii="Arial Nova" w:hAnsi="Arial Nova" w:cs="Arial"/>
        </w:rPr>
        <w:t xml:space="preserve">uicio ciudadano tiene por objeto resolver la litis planteada por el promovente, </w:t>
      </w:r>
      <w:r w:rsidR="00B254B3">
        <w:rPr>
          <w:rFonts w:ascii="Arial Nova" w:hAnsi="Arial Nova" w:cs="Arial"/>
        </w:rPr>
        <w:t xml:space="preserve">a través del dictado de la sentencia </w:t>
      </w:r>
      <w:r w:rsidR="00B254B3" w:rsidRPr="006242A6">
        <w:rPr>
          <w:rFonts w:ascii="Arial Nova" w:hAnsi="Arial Nova" w:cs="Arial"/>
        </w:rPr>
        <w:t xml:space="preserve">por parte de </w:t>
      </w:r>
      <w:r w:rsidR="00B254B3">
        <w:rPr>
          <w:rFonts w:ascii="Arial Nova" w:hAnsi="Arial Nova" w:cs="Arial"/>
        </w:rPr>
        <w:t>la</w:t>
      </w:r>
      <w:r w:rsidR="00B254B3" w:rsidRPr="006242A6">
        <w:rPr>
          <w:rFonts w:ascii="Arial Nova" w:hAnsi="Arial Nova" w:cs="Arial"/>
        </w:rPr>
        <w:t xml:space="preserve"> autoridad jurisdiccional, </w:t>
      </w:r>
      <w:r w:rsidR="00B254B3">
        <w:rPr>
          <w:rFonts w:ascii="Arial Nova" w:hAnsi="Arial Nova" w:cs="Arial"/>
        </w:rPr>
        <w:t xml:space="preserve">y </w:t>
      </w:r>
      <w:r w:rsidR="00B254B3" w:rsidRPr="006242A6">
        <w:rPr>
          <w:rFonts w:ascii="Arial Nova" w:hAnsi="Arial Nova" w:cs="Arial"/>
        </w:rPr>
        <w:t>la existencia de una controversia es presupuesto indispensable para todo proceso jurisdiccional</w:t>
      </w:r>
      <w:r w:rsidR="00B254B3">
        <w:rPr>
          <w:rFonts w:ascii="Arial Nova" w:hAnsi="Arial Nova" w:cs="Arial"/>
        </w:rPr>
        <w:t>, c</w:t>
      </w:r>
      <w:r w:rsidR="00B254B3" w:rsidRPr="006242A6">
        <w:rPr>
          <w:rFonts w:ascii="Arial Nova" w:hAnsi="Arial Nova" w:cs="Arial"/>
        </w:rPr>
        <w:t>riterio</w:t>
      </w:r>
      <w:r w:rsidR="00B254B3">
        <w:rPr>
          <w:rFonts w:ascii="Arial Nova" w:hAnsi="Arial Nova" w:cs="Arial"/>
        </w:rPr>
        <w:t xml:space="preserve"> que ha sido además sostenido por la </w:t>
      </w:r>
      <w:r w:rsidR="00B254B3" w:rsidRPr="006242A6">
        <w:rPr>
          <w:rFonts w:ascii="Arial Nova" w:hAnsi="Arial Nova" w:cs="Arial"/>
        </w:rPr>
        <w:t>Sala Superior</w:t>
      </w:r>
      <w:r w:rsidR="00B254B3">
        <w:rPr>
          <w:rFonts w:ascii="Arial Nova" w:hAnsi="Arial Nova" w:cs="Arial"/>
        </w:rPr>
        <w:t xml:space="preserve"> del Tribunal Electoral del Poder Judicial de la Federación</w:t>
      </w:r>
      <w:r w:rsidR="00B254B3" w:rsidRPr="006242A6">
        <w:rPr>
          <w:rFonts w:ascii="Arial Nova" w:hAnsi="Arial Nova" w:cs="Arial"/>
        </w:rPr>
        <w:t xml:space="preserve"> en el expediente SUP-JDC-304/2018</w:t>
      </w:r>
      <w:r w:rsidR="00B254B3" w:rsidRPr="006242A6">
        <w:rPr>
          <w:rStyle w:val="Refdenotaalpie"/>
          <w:rFonts w:ascii="Arial Nova" w:eastAsiaTheme="minorEastAsia" w:hAnsi="Arial Nova" w:cs="Arial"/>
        </w:rPr>
        <w:footnoteReference w:id="9"/>
      </w:r>
      <w:r w:rsidR="00B254B3" w:rsidRPr="006242A6">
        <w:rPr>
          <w:rFonts w:ascii="Arial Nova" w:hAnsi="Arial Nova" w:cs="Arial"/>
        </w:rPr>
        <w:t xml:space="preserve"> y acumulados</w:t>
      </w:r>
      <w:r w:rsidR="00B254B3">
        <w:rPr>
          <w:rFonts w:ascii="Arial Nova" w:hAnsi="Arial Nova" w:cs="Arial"/>
        </w:rPr>
        <w:t>.</w:t>
      </w:r>
    </w:p>
    <w:p w:rsidR="00B254B3" w:rsidRPr="006242A6" w:rsidRDefault="00B254B3" w:rsidP="004F116D">
      <w:pPr>
        <w:pStyle w:val="Prrafodelista"/>
        <w:tabs>
          <w:tab w:val="left" w:pos="1215"/>
        </w:tabs>
        <w:autoSpaceDE w:val="0"/>
        <w:autoSpaceDN w:val="0"/>
        <w:adjustRightInd w:val="0"/>
        <w:spacing w:after="0" w:line="360" w:lineRule="auto"/>
        <w:ind w:left="0"/>
        <w:jc w:val="both"/>
        <w:rPr>
          <w:rFonts w:ascii="Arial Nova" w:hAnsi="Arial Nova" w:cs="Arial"/>
          <w:b/>
          <w:color w:val="000000"/>
          <w:sz w:val="24"/>
          <w:szCs w:val="24"/>
        </w:rPr>
      </w:pPr>
      <w:r w:rsidRPr="006242A6">
        <w:rPr>
          <w:rFonts w:ascii="Arial Nova" w:hAnsi="Arial Nova" w:cs="Arial"/>
          <w:sz w:val="24"/>
          <w:szCs w:val="24"/>
        </w:rPr>
        <w:lastRenderedPageBreak/>
        <w:t xml:space="preserve">En suma, y </w:t>
      </w:r>
      <w:r w:rsidRPr="006242A6">
        <w:rPr>
          <w:rFonts w:ascii="Arial Nova" w:hAnsi="Arial Nova" w:cs="Arial"/>
          <w:color w:val="000000"/>
          <w:sz w:val="24"/>
          <w:szCs w:val="24"/>
        </w:rPr>
        <w:t>toda vez que la demanda</w:t>
      </w:r>
      <w:r w:rsidRPr="006242A6">
        <w:rPr>
          <w:rFonts w:ascii="Arial Nova" w:hAnsi="Arial Nova" w:cs="Arial"/>
          <w:b/>
          <w:color w:val="000000"/>
          <w:sz w:val="24"/>
          <w:szCs w:val="24"/>
        </w:rPr>
        <w:t xml:space="preserve"> </w:t>
      </w:r>
      <w:r w:rsidR="00181DD5">
        <w:rPr>
          <w:rFonts w:ascii="Arial Nova" w:hAnsi="Arial Nova" w:cs="Arial"/>
          <w:color w:val="000000"/>
          <w:sz w:val="24"/>
          <w:szCs w:val="24"/>
        </w:rPr>
        <w:t xml:space="preserve">ha sido </w:t>
      </w:r>
      <w:r w:rsidR="00A4718B">
        <w:rPr>
          <w:rFonts w:ascii="Arial Nova" w:hAnsi="Arial Nova" w:cs="Arial"/>
          <w:color w:val="000000"/>
          <w:sz w:val="24"/>
          <w:szCs w:val="24"/>
        </w:rPr>
        <w:t>escindida y reencauzada por parte de Sala Monterrey a este órgano local</w:t>
      </w:r>
      <w:r>
        <w:rPr>
          <w:rFonts w:ascii="Arial Nova" w:hAnsi="Arial Nova" w:cs="Arial"/>
          <w:color w:val="000000"/>
          <w:sz w:val="24"/>
          <w:szCs w:val="24"/>
        </w:rPr>
        <w:t xml:space="preserve">, lo procedente es </w:t>
      </w:r>
      <w:r w:rsidRPr="006242A6">
        <w:rPr>
          <w:rFonts w:ascii="Arial Nova" w:hAnsi="Arial Nova" w:cs="Arial"/>
          <w:color w:val="000000"/>
          <w:sz w:val="24"/>
          <w:szCs w:val="24"/>
        </w:rPr>
        <w:t xml:space="preserve">dictar el </w:t>
      </w:r>
      <w:r w:rsidRPr="006242A6">
        <w:rPr>
          <w:rFonts w:ascii="Arial Nova" w:hAnsi="Arial Nova" w:cs="Arial"/>
          <w:b/>
          <w:color w:val="000000"/>
          <w:sz w:val="24"/>
          <w:szCs w:val="24"/>
        </w:rPr>
        <w:t>sobreseimiento</w:t>
      </w:r>
      <w:r w:rsidRPr="006242A6">
        <w:rPr>
          <w:rFonts w:ascii="Arial Nova" w:hAnsi="Arial Nova" w:cs="Arial"/>
          <w:color w:val="000000"/>
          <w:sz w:val="24"/>
          <w:szCs w:val="24"/>
        </w:rPr>
        <w:t xml:space="preserve"> de</w:t>
      </w:r>
      <w:r>
        <w:rPr>
          <w:rFonts w:ascii="Arial Nova" w:hAnsi="Arial Nova" w:cs="Arial"/>
          <w:color w:val="000000"/>
          <w:sz w:val="24"/>
          <w:szCs w:val="24"/>
        </w:rPr>
        <w:t xml:space="preserve"> este juicio. </w:t>
      </w:r>
    </w:p>
    <w:p w:rsidR="00FE6240" w:rsidRPr="00B254B3" w:rsidRDefault="00FE6240" w:rsidP="004F116D">
      <w:pPr>
        <w:pStyle w:val="NormalWeb"/>
        <w:spacing w:before="0" w:beforeAutospacing="0" w:afterAutospacing="0" w:line="360" w:lineRule="auto"/>
        <w:contextualSpacing/>
        <w:mirrorIndents/>
        <w:jc w:val="both"/>
        <w:rPr>
          <w:rFonts w:ascii="Arial Nova" w:hAnsi="Arial Nova" w:cs="Arial"/>
        </w:rPr>
      </w:pPr>
    </w:p>
    <w:p w:rsidR="00FE6240" w:rsidRPr="00B254B3" w:rsidRDefault="00FE6240" w:rsidP="004F116D">
      <w:pPr>
        <w:pStyle w:val="NormalWeb"/>
        <w:numPr>
          <w:ilvl w:val="0"/>
          <w:numId w:val="10"/>
        </w:numPr>
        <w:tabs>
          <w:tab w:val="left" w:pos="284"/>
        </w:tabs>
        <w:spacing w:afterAutospacing="0" w:line="360" w:lineRule="auto"/>
        <w:ind w:left="0" w:firstLine="0"/>
        <w:contextualSpacing/>
        <w:mirrorIndents/>
        <w:jc w:val="both"/>
        <w:rPr>
          <w:rFonts w:ascii="Arial Nova" w:hAnsi="Arial Nova" w:cs="Arial"/>
          <w:b/>
        </w:rPr>
      </w:pPr>
      <w:r w:rsidRPr="00B254B3">
        <w:rPr>
          <w:rFonts w:ascii="Arial Nova" w:hAnsi="Arial Nova" w:cs="Arial"/>
          <w:b/>
        </w:rPr>
        <w:t xml:space="preserve">RESOLUTIVOS. </w:t>
      </w:r>
    </w:p>
    <w:p w:rsidR="00FE6240" w:rsidRPr="00B254B3" w:rsidRDefault="00FE6240" w:rsidP="004F116D">
      <w:pPr>
        <w:pStyle w:val="NormalWeb"/>
        <w:spacing w:afterAutospacing="0" w:line="360" w:lineRule="auto"/>
        <w:contextualSpacing/>
        <w:mirrorIndents/>
        <w:jc w:val="both"/>
        <w:rPr>
          <w:rFonts w:ascii="Arial Nova" w:hAnsi="Arial Nova" w:cs="Arial"/>
          <w:b/>
        </w:rPr>
      </w:pPr>
    </w:p>
    <w:p w:rsidR="00FE6240" w:rsidRPr="00B254B3" w:rsidRDefault="002521E6" w:rsidP="004F116D">
      <w:pPr>
        <w:pStyle w:val="NormalWeb"/>
        <w:spacing w:afterAutospacing="0" w:line="360" w:lineRule="auto"/>
        <w:contextualSpacing/>
        <w:mirrorIndents/>
        <w:jc w:val="both"/>
        <w:rPr>
          <w:rFonts w:ascii="Arial Nova" w:hAnsi="Arial Nova" w:cs="Arial"/>
        </w:rPr>
      </w:pPr>
      <w:r w:rsidRPr="00B254B3">
        <w:rPr>
          <w:rFonts w:ascii="Arial Nova" w:hAnsi="Arial Nova" w:cs="Arial"/>
          <w:b/>
        </w:rPr>
        <w:t>ÚNICO</w:t>
      </w:r>
      <w:r w:rsidR="00FE6240" w:rsidRPr="00B254B3">
        <w:rPr>
          <w:rFonts w:ascii="Arial Nova" w:hAnsi="Arial Nova" w:cs="Arial"/>
          <w:b/>
        </w:rPr>
        <w:t xml:space="preserve">. </w:t>
      </w:r>
      <w:r w:rsidR="0043031F" w:rsidRPr="00B254B3">
        <w:rPr>
          <w:rFonts w:ascii="Arial Nova" w:hAnsi="Arial Nova" w:cs="Arial"/>
        </w:rPr>
        <w:t xml:space="preserve">Se </w:t>
      </w:r>
      <w:r w:rsidR="0043031F" w:rsidRPr="00B254B3">
        <w:rPr>
          <w:rFonts w:ascii="Arial Nova" w:hAnsi="Arial Nova" w:cs="Arial"/>
          <w:b/>
        </w:rPr>
        <w:t>sobresee</w:t>
      </w:r>
      <w:r w:rsidR="0043031F" w:rsidRPr="00B254B3">
        <w:rPr>
          <w:rFonts w:ascii="Arial Nova" w:hAnsi="Arial Nova" w:cs="Arial"/>
        </w:rPr>
        <w:t xml:space="preserve"> el juicio ciudada</w:t>
      </w:r>
      <w:r w:rsidR="008B443C" w:rsidRPr="00B254B3">
        <w:rPr>
          <w:rFonts w:ascii="Arial Nova" w:hAnsi="Arial Nova" w:cs="Arial"/>
        </w:rPr>
        <w:t>no TEEA-JDC-</w:t>
      </w:r>
      <w:r w:rsidR="00E734D8" w:rsidRPr="00B254B3">
        <w:rPr>
          <w:rFonts w:ascii="Arial Nova" w:hAnsi="Arial Nova" w:cs="Arial"/>
        </w:rPr>
        <w:t>02</w:t>
      </w:r>
      <w:r w:rsidR="00A4718B">
        <w:rPr>
          <w:rFonts w:ascii="Arial Nova" w:hAnsi="Arial Nova" w:cs="Arial"/>
        </w:rPr>
        <w:t>7</w:t>
      </w:r>
      <w:r w:rsidR="008B443C" w:rsidRPr="00B254B3">
        <w:rPr>
          <w:rFonts w:ascii="Arial Nova" w:hAnsi="Arial Nova" w:cs="Arial"/>
        </w:rPr>
        <w:t xml:space="preserve">/2019, al haberse actualizado la causal prevista por </w:t>
      </w:r>
      <w:r w:rsidR="009747AC" w:rsidRPr="00B254B3">
        <w:rPr>
          <w:rFonts w:ascii="Arial Nova" w:hAnsi="Arial Nova" w:cs="Arial"/>
        </w:rPr>
        <w:t>el</w:t>
      </w:r>
      <w:r w:rsidR="00E734D8" w:rsidRPr="00B254B3">
        <w:rPr>
          <w:rFonts w:ascii="Arial Nova" w:hAnsi="Arial Nova" w:cs="Arial"/>
        </w:rPr>
        <w:t xml:space="preserve"> artículo 305, fracción II del C</w:t>
      </w:r>
      <w:r w:rsidR="002C48BC" w:rsidRPr="00B254B3">
        <w:rPr>
          <w:rFonts w:ascii="Arial Nova" w:hAnsi="Arial Nova" w:cs="Arial"/>
        </w:rPr>
        <w:t>ódigo Electoral</w:t>
      </w:r>
      <w:r w:rsidR="009747AC" w:rsidRPr="00B254B3">
        <w:rPr>
          <w:rFonts w:ascii="Arial Nova" w:hAnsi="Arial Nova" w:cs="Arial"/>
        </w:rPr>
        <w:t xml:space="preserve">. </w:t>
      </w:r>
    </w:p>
    <w:p w:rsidR="00E734D8" w:rsidRPr="00B254B3" w:rsidRDefault="00E734D8" w:rsidP="004F116D">
      <w:pPr>
        <w:pStyle w:val="NormalWeb"/>
        <w:spacing w:afterAutospacing="0" w:line="360" w:lineRule="auto"/>
        <w:contextualSpacing/>
        <w:mirrorIndents/>
        <w:jc w:val="both"/>
        <w:rPr>
          <w:rFonts w:ascii="Arial Nova" w:hAnsi="Arial Nova" w:cs="Arial"/>
          <w:b/>
          <w:color w:val="000000"/>
        </w:rPr>
      </w:pPr>
    </w:p>
    <w:tbl>
      <w:tblPr>
        <w:tblW w:w="8728" w:type="dxa"/>
        <w:tblInd w:w="-426" w:type="dxa"/>
        <w:tblLayout w:type="fixed"/>
        <w:tblLook w:val="04A0" w:firstRow="1" w:lastRow="0" w:firstColumn="1" w:lastColumn="0" w:noHBand="0" w:noVBand="1"/>
      </w:tblPr>
      <w:tblGrid>
        <w:gridCol w:w="4339"/>
        <w:gridCol w:w="4389"/>
      </w:tblGrid>
      <w:tr w:rsidR="00FE6240" w:rsidRPr="00B254B3" w:rsidTr="004553D5">
        <w:trPr>
          <w:trHeight w:val="1071"/>
        </w:trPr>
        <w:tc>
          <w:tcPr>
            <w:tcW w:w="8728" w:type="dxa"/>
            <w:gridSpan w:val="2"/>
            <w:hideMark/>
          </w:tcPr>
          <w:p w:rsidR="00D02475" w:rsidRDefault="00FE6240" w:rsidP="004553D5">
            <w:pPr>
              <w:pStyle w:val="NormalWeb"/>
              <w:spacing w:line="360" w:lineRule="auto"/>
              <w:ind w:left="322" w:right="334"/>
              <w:contextualSpacing/>
              <w:mirrorIndents/>
              <w:jc w:val="both"/>
              <w:rPr>
                <w:rFonts w:ascii="Arial Nova" w:hAnsi="Arial Nova" w:cs="Arial"/>
              </w:rPr>
            </w:pPr>
            <w:r w:rsidRPr="00B254B3">
              <w:rPr>
                <w:rFonts w:ascii="Arial Nova" w:hAnsi="Arial Nova" w:cs="Arial"/>
                <w:b/>
              </w:rPr>
              <w:t>NOTIFIQUESE</w:t>
            </w:r>
            <w:r w:rsidR="008B443C" w:rsidRPr="00B254B3">
              <w:rPr>
                <w:rFonts w:ascii="Arial Nova" w:hAnsi="Arial Nova" w:cs="Arial"/>
                <w:b/>
              </w:rPr>
              <w:t xml:space="preserve"> </w:t>
            </w:r>
            <w:r w:rsidR="008B443C" w:rsidRPr="00B254B3">
              <w:rPr>
                <w:rFonts w:ascii="Arial Nova" w:hAnsi="Arial Nova" w:cs="Arial"/>
              </w:rPr>
              <w:t>a las partes como en derecho proceda</w:t>
            </w:r>
            <w:r w:rsidR="00085B0C">
              <w:rPr>
                <w:rFonts w:ascii="Arial Nova" w:hAnsi="Arial Nova" w:cs="Arial"/>
              </w:rPr>
              <w:t>, infórmese a Sala Monterrey del cumplimiento a su resolución</w:t>
            </w:r>
            <w:r w:rsidR="008B443C" w:rsidRPr="00B254B3">
              <w:rPr>
                <w:rFonts w:ascii="Arial Nova" w:hAnsi="Arial Nova" w:cs="Arial"/>
              </w:rPr>
              <w:t xml:space="preserve"> y e</w:t>
            </w:r>
            <w:r w:rsidRPr="00B254B3">
              <w:rPr>
                <w:rFonts w:ascii="Arial Nova" w:hAnsi="Arial Nova" w:cs="Arial"/>
              </w:rPr>
              <w:t>n su oportunidad, archívese el presente expediente como asunto concluido.</w:t>
            </w:r>
            <w:r w:rsidR="00D02475">
              <w:rPr>
                <w:rFonts w:ascii="Arial Nova" w:hAnsi="Arial Nova" w:cs="Arial"/>
              </w:rPr>
              <w:t xml:space="preserve"> </w:t>
            </w:r>
          </w:p>
          <w:p w:rsidR="00D02475" w:rsidRDefault="00D02475" w:rsidP="004553D5">
            <w:pPr>
              <w:pStyle w:val="NormalWeb"/>
              <w:spacing w:line="360" w:lineRule="auto"/>
              <w:ind w:left="322" w:right="334"/>
              <w:contextualSpacing/>
              <w:mirrorIndents/>
              <w:jc w:val="both"/>
              <w:rPr>
                <w:rFonts w:ascii="Arial Nova" w:hAnsi="Arial Nova" w:cs="Arial"/>
              </w:rPr>
            </w:pPr>
          </w:p>
          <w:p w:rsidR="008B443C" w:rsidRDefault="00FE6240" w:rsidP="004553D5">
            <w:pPr>
              <w:pStyle w:val="NormalWeb"/>
              <w:spacing w:line="360" w:lineRule="auto"/>
              <w:ind w:left="322" w:right="334"/>
              <w:contextualSpacing/>
              <w:mirrorIndents/>
              <w:jc w:val="both"/>
              <w:rPr>
                <w:rFonts w:ascii="Arial Nova" w:hAnsi="Arial Nova" w:cs="Arial"/>
              </w:rPr>
            </w:pPr>
            <w:r w:rsidRPr="00B254B3">
              <w:rPr>
                <w:rFonts w:ascii="Arial Nova" w:hAnsi="Arial Nova" w:cs="Arial"/>
              </w:rPr>
              <w:t>Así lo resolvió el Tribunal Electoral del Estado de Aguascalientes, por unanimidad de votos de la Magistrada y Magistrados que lo integran, ante el Secretario General de Acuerdos</w:t>
            </w:r>
            <w:r w:rsidR="00B254B3">
              <w:rPr>
                <w:rFonts w:ascii="Arial Nova" w:hAnsi="Arial Nova" w:cs="Arial"/>
              </w:rPr>
              <w:t xml:space="preserve"> en funciones</w:t>
            </w:r>
            <w:r w:rsidRPr="00B254B3">
              <w:rPr>
                <w:rFonts w:ascii="Arial Nova" w:hAnsi="Arial Nova" w:cs="Arial"/>
              </w:rPr>
              <w:t>, quien autoriza y da fe.</w:t>
            </w:r>
          </w:p>
          <w:p w:rsidR="005171AF" w:rsidRDefault="005171AF" w:rsidP="004553D5">
            <w:pPr>
              <w:pStyle w:val="NormalWeb"/>
              <w:spacing w:line="360" w:lineRule="auto"/>
              <w:ind w:left="322" w:right="334"/>
              <w:contextualSpacing/>
              <w:mirrorIndents/>
              <w:jc w:val="both"/>
              <w:rPr>
                <w:rFonts w:ascii="Arial Nova" w:hAnsi="Arial Nova" w:cs="Arial"/>
              </w:rPr>
            </w:pPr>
          </w:p>
          <w:p w:rsidR="00B93F2B" w:rsidRPr="00B254B3" w:rsidRDefault="00B93F2B" w:rsidP="008B443C">
            <w:pPr>
              <w:pStyle w:val="NormalWeb"/>
              <w:spacing w:line="360" w:lineRule="auto"/>
              <w:ind w:right="-2"/>
              <w:contextualSpacing/>
              <w:mirrorIndents/>
              <w:jc w:val="both"/>
              <w:rPr>
                <w:rFonts w:ascii="Arial Nova" w:hAnsi="Arial Nova" w:cs="Arial"/>
              </w:rPr>
            </w:pPr>
          </w:p>
          <w:p w:rsidR="00FE6240" w:rsidRPr="00B254B3" w:rsidRDefault="00FE6240" w:rsidP="008B443C">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MAGISTRADO PRESIDENTE</w:t>
            </w:r>
          </w:p>
          <w:p w:rsidR="00FE6240" w:rsidRPr="00B254B3" w:rsidRDefault="00FE6240" w:rsidP="00085B0C">
            <w:pPr>
              <w:pStyle w:val="NormalWeb"/>
              <w:spacing w:line="360" w:lineRule="auto"/>
              <w:ind w:right="-2"/>
              <w:contextualSpacing/>
              <w:mirrorIndents/>
              <w:jc w:val="center"/>
              <w:rPr>
                <w:rFonts w:ascii="Arial Nova" w:hAnsi="Arial Nova" w:cs="Arial"/>
                <w:b/>
                <w:bCs/>
              </w:rPr>
            </w:pPr>
          </w:p>
          <w:p w:rsidR="00FE6240" w:rsidRPr="00B254B3" w:rsidRDefault="00FE6240" w:rsidP="00FE6240">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HÉCTOR SALVADOR HERNÁNDEZ GALLEGOS</w:t>
            </w:r>
          </w:p>
          <w:p w:rsidR="00FE6240" w:rsidRPr="00B254B3" w:rsidRDefault="00FE6240" w:rsidP="00FE6240">
            <w:pPr>
              <w:pStyle w:val="NormalWeb"/>
              <w:spacing w:line="360" w:lineRule="auto"/>
              <w:ind w:right="-2"/>
              <w:contextualSpacing/>
              <w:mirrorIndents/>
              <w:jc w:val="center"/>
              <w:rPr>
                <w:rFonts w:ascii="Arial Nova" w:hAnsi="Arial Nova" w:cs="Arial"/>
                <w:b/>
                <w:bCs/>
              </w:rPr>
            </w:pPr>
          </w:p>
          <w:p w:rsidR="00FE6240" w:rsidRPr="00B254B3" w:rsidRDefault="00FE6240" w:rsidP="00FE6240">
            <w:pPr>
              <w:pStyle w:val="NormalWeb"/>
              <w:spacing w:line="360" w:lineRule="auto"/>
              <w:ind w:right="-2"/>
              <w:contextualSpacing/>
              <w:mirrorIndents/>
              <w:jc w:val="center"/>
              <w:rPr>
                <w:rFonts w:ascii="Arial Nova" w:hAnsi="Arial Nova" w:cs="Arial"/>
                <w:b/>
                <w:bCs/>
              </w:rPr>
            </w:pPr>
          </w:p>
        </w:tc>
      </w:tr>
      <w:tr w:rsidR="00FE6240" w:rsidRPr="00B254B3" w:rsidTr="004553D5">
        <w:tblPrEx>
          <w:tblLook w:val="0000" w:firstRow="0" w:lastRow="0" w:firstColumn="0" w:lastColumn="0" w:noHBand="0" w:noVBand="0"/>
        </w:tblPrEx>
        <w:trPr>
          <w:trHeight w:val="1407"/>
        </w:trPr>
        <w:tc>
          <w:tcPr>
            <w:tcW w:w="4339" w:type="dxa"/>
          </w:tcPr>
          <w:p w:rsidR="00FE6240" w:rsidRPr="00B254B3" w:rsidRDefault="00FE6240" w:rsidP="00FE6240">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MAGISTRADA</w:t>
            </w:r>
          </w:p>
          <w:p w:rsidR="00FE6240" w:rsidRPr="00B254B3" w:rsidRDefault="00FE6240" w:rsidP="00FE6240">
            <w:pPr>
              <w:pStyle w:val="NormalWeb"/>
              <w:spacing w:line="360" w:lineRule="auto"/>
              <w:ind w:right="-2"/>
              <w:contextualSpacing/>
              <w:mirrorIndents/>
              <w:jc w:val="center"/>
              <w:rPr>
                <w:rFonts w:ascii="Arial Nova" w:hAnsi="Arial Nova" w:cs="Arial"/>
                <w:b/>
                <w:bCs/>
              </w:rPr>
            </w:pPr>
          </w:p>
          <w:p w:rsidR="00B254B3" w:rsidRDefault="00FE6240" w:rsidP="00FE6240">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 xml:space="preserve">CLAUDIA ELOISA </w:t>
            </w:r>
          </w:p>
          <w:p w:rsidR="00FE6240" w:rsidRPr="00B254B3" w:rsidRDefault="00FE6240" w:rsidP="00FE6240">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DÍAZ DE LEÓN GONZÁLEZ</w:t>
            </w:r>
          </w:p>
        </w:tc>
        <w:tc>
          <w:tcPr>
            <w:tcW w:w="4389" w:type="dxa"/>
          </w:tcPr>
          <w:p w:rsidR="00FE6240" w:rsidRPr="00B254B3" w:rsidRDefault="00FE6240" w:rsidP="004F116D">
            <w:pPr>
              <w:pStyle w:val="NormalWeb"/>
              <w:spacing w:line="360" w:lineRule="auto"/>
              <w:ind w:right="759"/>
              <w:contextualSpacing/>
              <w:mirrorIndents/>
              <w:jc w:val="center"/>
              <w:rPr>
                <w:rFonts w:ascii="Arial Nova" w:hAnsi="Arial Nova" w:cs="Arial"/>
                <w:b/>
                <w:bCs/>
              </w:rPr>
            </w:pPr>
            <w:r w:rsidRPr="00B254B3">
              <w:rPr>
                <w:rFonts w:ascii="Arial Nova" w:hAnsi="Arial Nova" w:cs="Arial"/>
                <w:b/>
                <w:bCs/>
              </w:rPr>
              <w:t>MAGISTRADO</w:t>
            </w:r>
            <w:r w:rsidR="00B254B3">
              <w:rPr>
                <w:rFonts w:ascii="Arial Nova" w:hAnsi="Arial Nova" w:cs="Arial"/>
                <w:b/>
                <w:bCs/>
              </w:rPr>
              <w:t xml:space="preserve"> EN FUNCIONES</w:t>
            </w:r>
          </w:p>
          <w:p w:rsidR="00FE6240" w:rsidRPr="00B254B3" w:rsidRDefault="00FE6240" w:rsidP="004F116D">
            <w:pPr>
              <w:pStyle w:val="NormalWeb"/>
              <w:spacing w:line="360" w:lineRule="auto"/>
              <w:ind w:right="759"/>
              <w:contextualSpacing/>
              <w:mirrorIndents/>
              <w:jc w:val="center"/>
              <w:rPr>
                <w:rFonts w:ascii="Arial Nova" w:hAnsi="Arial Nova" w:cs="Arial"/>
                <w:b/>
                <w:bCs/>
              </w:rPr>
            </w:pPr>
          </w:p>
          <w:p w:rsidR="00FE6240" w:rsidRPr="00B254B3" w:rsidRDefault="0035420E" w:rsidP="007C40DC">
            <w:pPr>
              <w:pStyle w:val="NormalWeb"/>
              <w:spacing w:line="360" w:lineRule="auto"/>
              <w:ind w:right="394"/>
              <w:contextualSpacing/>
              <w:mirrorIndents/>
              <w:jc w:val="center"/>
              <w:rPr>
                <w:rFonts w:ascii="Arial Nova" w:hAnsi="Arial Nova" w:cs="Arial"/>
                <w:b/>
                <w:bCs/>
              </w:rPr>
            </w:pPr>
            <w:r>
              <w:rPr>
                <w:rFonts w:ascii="Arial Nova" w:hAnsi="Arial Nova" w:cs="Arial"/>
                <w:b/>
                <w:bCs/>
              </w:rPr>
              <w:t>JESÚS OCIEL BAENA SAUCEDO</w:t>
            </w:r>
          </w:p>
        </w:tc>
      </w:tr>
      <w:tr w:rsidR="00FE6240" w:rsidRPr="00B254B3" w:rsidTr="004553D5">
        <w:tblPrEx>
          <w:tblLook w:val="0000" w:firstRow="0" w:lastRow="0" w:firstColumn="0" w:lastColumn="0" w:noHBand="0" w:noVBand="0"/>
        </w:tblPrEx>
        <w:trPr>
          <w:trHeight w:val="836"/>
        </w:trPr>
        <w:tc>
          <w:tcPr>
            <w:tcW w:w="8728" w:type="dxa"/>
            <w:gridSpan w:val="2"/>
          </w:tcPr>
          <w:p w:rsidR="00FE6240" w:rsidRPr="00B254B3" w:rsidRDefault="00FE6240" w:rsidP="00FE6240">
            <w:pPr>
              <w:pStyle w:val="NormalWeb"/>
              <w:spacing w:line="360" w:lineRule="auto"/>
              <w:ind w:right="-2"/>
              <w:contextualSpacing/>
              <w:mirrorIndents/>
              <w:jc w:val="center"/>
              <w:rPr>
                <w:rFonts w:ascii="Arial Nova" w:hAnsi="Arial Nova" w:cs="Arial"/>
                <w:b/>
                <w:bCs/>
              </w:rPr>
            </w:pPr>
          </w:p>
          <w:p w:rsidR="00FE6240" w:rsidRPr="00B254B3" w:rsidRDefault="00FE6240" w:rsidP="00843461">
            <w:pPr>
              <w:pStyle w:val="NormalWeb"/>
              <w:spacing w:line="360" w:lineRule="auto"/>
              <w:ind w:right="-2"/>
              <w:contextualSpacing/>
              <w:mirrorIndents/>
              <w:jc w:val="center"/>
              <w:rPr>
                <w:rFonts w:ascii="Arial Nova" w:hAnsi="Arial Nova" w:cs="Arial"/>
                <w:b/>
                <w:bCs/>
              </w:rPr>
            </w:pPr>
            <w:r w:rsidRPr="00B254B3">
              <w:rPr>
                <w:rFonts w:ascii="Arial Nova" w:hAnsi="Arial Nova" w:cs="Arial"/>
                <w:b/>
                <w:bCs/>
              </w:rPr>
              <w:t>SECRETARIO GENERAL DE ACUERDOS</w:t>
            </w:r>
            <w:r w:rsidR="0035420E">
              <w:rPr>
                <w:rFonts w:ascii="Arial Nova" w:hAnsi="Arial Nova" w:cs="Arial"/>
                <w:b/>
                <w:bCs/>
              </w:rPr>
              <w:t xml:space="preserve"> EN FUNCIONES</w:t>
            </w:r>
          </w:p>
          <w:p w:rsidR="00FE6240" w:rsidRPr="00B254B3" w:rsidRDefault="00FE6240" w:rsidP="00FE6240">
            <w:pPr>
              <w:pStyle w:val="NormalWeb"/>
              <w:spacing w:line="360" w:lineRule="auto"/>
              <w:ind w:right="-2"/>
              <w:contextualSpacing/>
              <w:mirrorIndents/>
              <w:jc w:val="center"/>
              <w:rPr>
                <w:rFonts w:ascii="Arial Nova" w:hAnsi="Arial Nova" w:cs="Arial"/>
                <w:b/>
                <w:bCs/>
              </w:rPr>
            </w:pPr>
          </w:p>
        </w:tc>
      </w:tr>
      <w:tr w:rsidR="00FE6240" w:rsidRPr="00B254B3" w:rsidTr="004553D5">
        <w:tblPrEx>
          <w:tblLook w:val="0000" w:firstRow="0" w:lastRow="0" w:firstColumn="0" w:lastColumn="0" w:noHBand="0" w:noVBand="0"/>
        </w:tblPrEx>
        <w:trPr>
          <w:trHeight w:val="280"/>
        </w:trPr>
        <w:tc>
          <w:tcPr>
            <w:tcW w:w="8728" w:type="dxa"/>
            <w:gridSpan w:val="2"/>
          </w:tcPr>
          <w:p w:rsidR="004553D5" w:rsidRPr="00B254B3" w:rsidRDefault="0035420E" w:rsidP="004553D5">
            <w:pPr>
              <w:pStyle w:val="NormalWeb"/>
              <w:spacing w:line="360" w:lineRule="auto"/>
              <w:ind w:right="-2"/>
              <w:contextualSpacing/>
              <w:mirrorIndents/>
              <w:jc w:val="center"/>
              <w:rPr>
                <w:rFonts w:ascii="Arial Nova" w:hAnsi="Arial Nova" w:cs="Arial"/>
                <w:b/>
                <w:bCs/>
              </w:rPr>
            </w:pPr>
            <w:r>
              <w:rPr>
                <w:rFonts w:ascii="Arial Nova" w:hAnsi="Arial Nova" w:cs="Arial"/>
                <w:b/>
                <w:bCs/>
              </w:rPr>
              <w:t>DANIEL OMAR GUTIÉRREZ RUVALCABA</w:t>
            </w:r>
          </w:p>
        </w:tc>
      </w:tr>
    </w:tbl>
    <w:p w:rsidR="00FE6240" w:rsidRPr="00B254B3" w:rsidRDefault="00FE6240" w:rsidP="004553D5">
      <w:pPr>
        <w:rPr>
          <w:rFonts w:ascii="Arial Nova" w:hAnsi="Arial Nova" w:cs="Arial"/>
          <w:sz w:val="24"/>
          <w:szCs w:val="24"/>
        </w:rPr>
      </w:pPr>
    </w:p>
    <w:sectPr w:rsidR="00FE6240" w:rsidRPr="00B254B3" w:rsidSect="005F0879">
      <w:headerReference w:type="default" r:id="rId9"/>
      <w:pgSz w:w="12240" w:h="20160" w:code="5"/>
      <w:pgMar w:top="3062" w:right="1469"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BB2" w:rsidRDefault="006E7BB2" w:rsidP="00FE6240">
      <w:pPr>
        <w:spacing w:after="0" w:line="240" w:lineRule="auto"/>
      </w:pPr>
      <w:r>
        <w:separator/>
      </w:r>
    </w:p>
  </w:endnote>
  <w:endnote w:type="continuationSeparator" w:id="0">
    <w:p w:rsidR="006E7BB2" w:rsidRDefault="006E7BB2" w:rsidP="00FE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BB2" w:rsidRDefault="006E7BB2" w:rsidP="00FE6240">
      <w:pPr>
        <w:spacing w:after="0" w:line="240" w:lineRule="auto"/>
      </w:pPr>
      <w:r>
        <w:separator/>
      </w:r>
    </w:p>
  </w:footnote>
  <w:footnote w:type="continuationSeparator" w:id="0">
    <w:p w:rsidR="006E7BB2" w:rsidRDefault="006E7BB2" w:rsidP="00FE6240">
      <w:pPr>
        <w:spacing w:after="0" w:line="240" w:lineRule="auto"/>
      </w:pPr>
      <w:r>
        <w:continuationSeparator/>
      </w:r>
    </w:p>
  </w:footnote>
  <w:footnote w:id="1">
    <w:p w:rsidR="00FE6240" w:rsidRPr="0023753E" w:rsidRDefault="00FE6240" w:rsidP="00FE6240">
      <w:pPr>
        <w:pStyle w:val="Textonotapie"/>
        <w:jc w:val="both"/>
        <w:rPr>
          <w:rFonts w:ascii="Arial Nova" w:hAnsi="Arial Nova"/>
          <w:sz w:val="16"/>
          <w:szCs w:val="16"/>
        </w:rPr>
      </w:pPr>
      <w:r w:rsidRPr="0023753E">
        <w:rPr>
          <w:rStyle w:val="Refdenotaalpie"/>
          <w:rFonts w:ascii="Arial Nova" w:hAnsi="Arial Nova"/>
          <w:sz w:val="16"/>
          <w:szCs w:val="16"/>
        </w:rPr>
        <w:footnoteRef/>
      </w:r>
      <w:r w:rsidRPr="0023753E">
        <w:rPr>
          <w:rFonts w:ascii="Arial Nova" w:hAnsi="Arial Nova"/>
          <w:sz w:val="16"/>
          <w:szCs w:val="16"/>
        </w:rPr>
        <w:t xml:space="preserve"> Consultable en la URL: </w:t>
      </w:r>
      <w:hyperlink r:id="rId1" w:history="1">
        <w:r w:rsidRPr="0023753E">
          <w:rPr>
            <w:rStyle w:val="Hipervnculo"/>
            <w:rFonts w:ascii="Arial Nova" w:hAnsi="Arial Nova"/>
            <w:sz w:val="16"/>
            <w:szCs w:val="16"/>
          </w:rPr>
          <w:t>https://morena.si/wp-content/uploads/2019/01/CONVOCATORIA-Aguascalientes-Final2.pdf</w:t>
        </w:r>
      </w:hyperlink>
    </w:p>
  </w:footnote>
  <w:footnote w:id="2">
    <w:p w:rsidR="00FE6240" w:rsidRPr="0023753E" w:rsidRDefault="00FE6240" w:rsidP="00FE6240">
      <w:pPr>
        <w:pStyle w:val="Textonotapie"/>
        <w:jc w:val="both"/>
        <w:rPr>
          <w:rFonts w:ascii="Arial Nova" w:hAnsi="Arial Nova"/>
          <w:sz w:val="16"/>
          <w:szCs w:val="16"/>
        </w:rPr>
      </w:pPr>
      <w:r w:rsidRPr="0023753E">
        <w:rPr>
          <w:rStyle w:val="Refdenotaalpie"/>
          <w:rFonts w:ascii="Arial Nova" w:hAnsi="Arial Nova"/>
          <w:sz w:val="16"/>
          <w:szCs w:val="16"/>
        </w:rPr>
        <w:footnoteRef/>
      </w:r>
      <w:r w:rsidRPr="0023753E">
        <w:rPr>
          <w:rFonts w:ascii="Arial Nova" w:hAnsi="Arial Nova"/>
          <w:sz w:val="16"/>
          <w:szCs w:val="16"/>
        </w:rPr>
        <w:t xml:space="preserve"> Consultable en la URL: </w:t>
      </w:r>
      <w:hyperlink r:id="rId2" w:history="1">
        <w:r w:rsidRPr="0023753E">
          <w:rPr>
            <w:rStyle w:val="Hipervnculo"/>
            <w:rFonts w:ascii="Arial Nova" w:hAnsi="Arial Nova"/>
            <w:sz w:val="16"/>
            <w:szCs w:val="16"/>
          </w:rPr>
          <w:t>https://morena.si/wp-content/uploads/2019/02/FE-DE-ERRATAS-AGUASCALIENTES.pdf</w:t>
        </w:r>
      </w:hyperlink>
    </w:p>
  </w:footnote>
  <w:footnote w:id="3">
    <w:p w:rsidR="00FE6240" w:rsidRPr="0023753E" w:rsidRDefault="00FE6240" w:rsidP="00FE6240">
      <w:pPr>
        <w:pStyle w:val="Textonotapie"/>
        <w:jc w:val="both"/>
        <w:rPr>
          <w:rFonts w:ascii="Arial Nova" w:hAnsi="Arial Nova"/>
          <w:sz w:val="16"/>
          <w:szCs w:val="16"/>
        </w:rPr>
      </w:pPr>
      <w:r w:rsidRPr="0023753E">
        <w:rPr>
          <w:rStyle w:val="Refdenotaalpie"/>
          <w:rFonts w:ascii="Arial Nova" w:hAnsi="Arial Nova"/>
          <w:sz w:val="16"/>
          <w:szCs w:val="16"/>
        </w:rPr>
        <w:footnoteRef/>
      </w:r>
      <w:r w:rsidRPr="0023753E">
        <w:rPr>
          <w:rFonts w:ascii="Arial Nova" w:hAnsi="Arial Nova"/>
          <w:sz w:val="16"/>
          <w:szCs w:val="16"/>
        </w:rPr>
        <w:t xml:space="preserve"> </w:t>
      </w:r>
      <w:hyperlink r:id="rId3" w:history="1">
        <w:r w:rsidRPr="0023753E">
          <w:rPr>
            <w:rStyle w:val="Hipervnculo"/>
            <w:rFonts w:ascii="Arial Nova" w:hAnsi="Arial Nova"/>
            <w:sz w:val="16"/>
            <w:szCs w:val="16"/>
          </w:rPr>
          <w:t>https://morena.si/wp-content/uploads/2019/03/DICTAMEN-DE-APROBACI%C3%93N-DE-PRESIDENTES-MUNICIPALES-1.pdf</w:t>
        </w:r>
      </w:hyperlink>
    </w:p>
  </w:footnote>
  <w:footnote w:id="4">
    <w:p w:rsidR="00FE6240" w:rsidRPr="0023753E" w:rsidRDefault="00FE6240" w:rsidP="00FE6240">
      <w:pPr>
        <w:pStyle w:val="Textonotapie"/>
        <w:jc w:val="both"/>
        <w:rPr>
          <w:rFonts w:ascii="Arial Nova" w:hAnsi="Arial Nova"/>
          <w:sz w:val="16"/>
          <w:szCs w:val="16"/>
        </w:rPr>
      </w:pPr>
      <w:r w:rsidRPr="0023753E">
        <w:rPr>
          <w:rStyle w:val="Refdenotaalpie"/>
          <w:rFonts w:ascii="Arial Nova" w:hAnsi="Arial Nova"/>
          <w:sz w:val="16"/>
          <w:szCs w:val="16"/>
        </w:rPr>
        <w:footnoteRef/>
      </w:r>
      <w:r w:rsidRPr="0023753E">
        <w:rPr>
          <w:rFonts w:ascii="Arial Nova" w:hAnsi="Arial Nova"/>
          <w:sz w:val="16"/>
          <w:szCs w:val="16"/>
        </w:rPr>
        <w:t xml:space="preserve"> Consultable en la URL: </w:t>
      </w:r>
      <w:hyperlink r:id="rId4" w:history="1">
        <w:r w:rsidRPr="0023753E">
          <w:rPr>
            <w:rStyle w:val="Hipervnculo"/>
            <w:rFonts w:ascii="Arial Nova" w:hAnsi="Arial Nova"/>
            <w:sz w:val="16"/>
            <w:szCs w:val="16"/>
          </w:rPr>
          <w:t>https://morena.si/wp-content/uploads/2019/03/FE-DE-ERRATAS-DICTAMEN-DE-APROBACI%C3%93N-1.pdf</w:t>
        </w:r>
      </w:hyperlink>
    </w:p>
    <w:p w:rsidR="00FE6240" w:rsidRPr="0023753E" w:rsidRDefault="00FE6240" w:rsidP="00FE6240">
      <w:pPr>
        <w:pStyle w:val="Textonotapie"/>
        <w:rPr>
          <w:rFonts w:ascii="Arial Nova" w:hAnsi="Arial Nova"/>
          <w:sz w:val="16"/>
          <w:szCs w:val="16"/>
        </w:rPr>
      </w:pPr>
    </w:p>
  </w:footnote>
  <w:footnote w:id="5">
    <w:p w:rsidR="00B254B3" w:rsidRPr="002E524F" w:rsidRDefault="00B254B3" w:rsidP="00B254B3">
      <w:pPr>
        <w:pStyle w:val="Estilo"/>
        <w:rPr>
          <w:rFonts w:ascii="Arial Nova" w:hAnsi="Arial Nova"/>
          <w:sz w:val="16"/>
          <w:szCs w:val="16"/>
        </w:rPr>
      </w:pPr>
      <w:r w:rsidRPr="002E524F">
        <w:rPr>
          <w:rStyle w:val="Refdenotaalpie"/>
          <w:rFonts w:ascii="Arial Nova" w:hAnsi="Arial Nova"/>
          <w:sz w:val="16"/>
          <w:szCs w:val="16"/>
        </w:rPr>
        <w:footnoteRef/>
      </w:r>
      <w:r w:rsidRPr="002E524F">
        <w:rPr>
          <w:rFonts w:ascii="Arial Nova" w:hAnsi="Arial Nova"/>
          <w:sz w:val="16"/>
          <w:szCs w:val="16"/>
        </w:rPr>
        <w:t xml:space="preserve"> ARTÍCULO 305.- El sobreseimiento de los recursos procede cuando:</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I. El recurrente se desista expresamente por escrito;</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II. La autoridad responsable del acto o resolución impugnado lo modifique o revoque, de tal manera que quede sin materia antes de que se dicte resolución o sentencia;</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III. Admitido el recurso, aparezca o sobrevenga alguna causal de improcedencia en los términos del presente Código, y</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IV. El recurrente pierda su acreditación o registro; el recurrente fallezca o sea suspendido o privado de sus derechos político-electorales.</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Cuando se actualice alguno de los supuestos a que se refieren las fracciones del párrafo anterior, se estará a lo siguiente:</w:t>
      </w:r>
    </w:p>
    <w:p w:rsidR="00B254B3" w:rsidRPr="002E524F" w:rsidRDefault="00B254B3" w:rsidP="00B254B3">
      <w:pPr>
        <w:pStyle w:val="Estilo"/>
        <w:rPr>
          <w:rFonts w:ascii="Arial Nova" w:hAnsi="Arial Nova"/>
          <w:sz w:val="16"/>
          <w:szCs w:val="16"/>
        </w:rPr>
      </w:pPr>
      <w:r w:rsidRPr="002E524F">
        <w:rPr>
          <w:rFonts w:ascii="Arial Nova" w:hAnsi="Arial Nova"/>
          <w:sz w:val="16"/>
          <w:szCs w:val="16"/>
        </w:rPr>
        <w:t>I. En los casos de competencia del Tribunal, el Magistrado que conozca del asunto propondrá el sobreseimiento al Pleno del Tribunal, y</w:t>
      </w:r>
    </w:p>
    <w:p w:rsidR="00B254B3" w:rsidRDefault="00B254B3" w:rsidP="00B254B3">
      <w:pPr>
        <w:pStyle w:val="Estilo"/>
      </w:pPr>
      <w:r w:rsidRPr="002E524F">
        <w:rPr>
          <w:rFonts w:ascii="Arial Nova" w:hAnsi="Arial Nova"/>
          <w:sz w:val="16"/>
          <w:szCs w:val="16"/>
        </w:rPr>
        <w:t>II. En los asuntos de competencia de los órganos del Instituto, el Consejo resolverá sobre el sobreseimiento.</w:t>
      </w:r>
    </w:p>
  </w:footnote>
  <w:footnote w:id="6">
    <w:p w:rsidR="00B254B3" w:rsidRDefault="00B254B3" w:rsidP="00B254B3">
      <w:pPr>
        <w:pStyle w:val="Textonotapie"/>
        <w:rPr>
          <w:rFonts w:ascii="Arial Nova" w:hAnsi="Arial Nova"/>
          <w:sz w:val="16"/>
          <w:szCs w:val="16"/>
        </w:rPr>
      </w:pPr>
      <w:r>
        <w:rPr>
          <w:rStyle w:val="Refdenotaalpie"/>
        </w:rPr>
        <w:footnoteRef/>
      </w:r>
      <w:r>
        <w:t xml:space="preserve"> </w:t>
      </w:r>
      <w:r w:rsidRPr="00347A10">
        <w:rPr>
          <w:rFonts w:ascii="Arial Nova" w:hAnsi="Arial Nova"/>
          <w:sz w:val="16"/>
          <w:szCs w:val="16"/>
        </w:rPr>
        <w:t xml:space="preserve">Artículo 110. </w:t>
      </w:r>
      <w:r>
        <w:rPr>
          <w:rFonts w:ascii="Arial Nova" w:hAnsi="Arial Nova"/>
          <w:sz w:val="16"/>
          <w:szCs w:val="16"/>
        </w:rPr>
        <w:t xml:space="preserve">El sobreseimiento de los recursos procede cuando: </w:t>
      </w:r>
    </w:p>
    <w:p w:rsidR="00B254B3" w:rsidRDefault="00B254B3" w:rsidP="00B254B3">
      <w:pPr>
        <w:pStyle w:val="Textonotapie"/>
        <w:numPr>
          <w:ilvl w:val="0"/>
          <w:numId w:val="40"/>
        </w:numPr>
        <w:rPr>
          <w:rFonts w:ascii="Arial Nova" w:hAnsi="Arial Nova"/>
          <w:sz w:val="16"/>
          <w:szCs w:val="16"/>
        </w:rPr>
      </w:pPr>
      <w:r>
        <w:rPr>
          <w:rFonts w:ascii="Arial Nova" w:hAnsi="Arial Nova"/>
          <w:sz w:val="16"/>
          <w:szCs w:val="16"/>
        </w:rPr>
        <w:t xml:space="preserve">El recurrente se desista expresamente por escrito; </w:t>
      </w:r>
    </w:p>
    <w:p w:rsidR="00B254B3" w:rsidRDefault="00B254B3" w:rsidP="00B254B3">
      <w:pPr>
        <w:pStyle w:val="Textonotapie"/>
        <w:numPr>
          <w:ilvl w:val="0"/>
          <w:numId w:val="40"/>
        </w:numPr>
        <w:rPr>
          <w:rFonts w:ascii="Arial Nova" w:hAnsi="Arial Nova"/>
          <w:sz w:val="16"/>
          <w:szCs w:val="16"/>
        </w:rPr>
      </w:pPr>
      <w:r>
        <w:rPr>
          <w:rFonts w:ascii="Arial Nova" w:hAnsi="Arial Nova"/>
          <w:sz w:val="16"/>
          <w:szCs w:val="16"/>
        </w:rPr>
        <w:t>La autoridad responsable del acto o resolución impugnado lo modifique o revoque, de tal manera que quede sin materia antes de que se dicte resolución o sentencia;</w:t>
      </w:r>
    </w:p>
    <w:p w:rsidR="00B254B3" w:rsidRDefault="00B254B3" w:rsidP="00B254B3">
      <w:pPr>
        <w:pStyle w:val="Textonotapie"/>
        <w:numPr>
          <w:ilvl w:val="0"/>
          <w:numId w:val="40"/>
        </w:numPr>
        <w:rPr>
          <w:rFonts w:ascii="Arial Nova" w:hAnsi="Arial Nova"/>
          <w:sz w:val="16"/>
          <w:szCs w:val="16"/>
        </w:rPr>
      </w:pPr>
      <w:r>
        <w:rPr>
          <w:rFonts w:ascii="Arial Nova" w:hAnsi="Arial Nova"/>
          <w:sz w:val="16"/>
          <w:szCs w:val="16"/>
        </w:rPr>
        <w:t xml:space="preserve">Admitido el recurso, aparezca o sobrevenga alguna causal de improcedencia den los términos del Código, y </w:t>
      </w:r>
    </w:p>
    <w:p w:rsidR="00B254B3" w:rsidRDefault="00B254B3" w:rsidP="00B254B3">
      <w:pPr>
        <w:pStyle w:val="Textonotapie"/>
        <w:numPr>
          <w:ilvl w:val="0"/>
          <w:numId w:val="40"/>
        </w:numPr>
        <w:rPr>
          <w:rFonts w:ascii="Arial Nova" w:hAnsi="Arial Nova"/>
          <w:sz w:val="16"/>
          <w:szCs w:val="16"/>
        </w:rPr>
      </w:pPr>
      <w:r>
        <w:rPr>
          <w:rFonts w:ascii="Arial Nova" w:hAnsi="Arial Nova"/>
          <w:sz w:val="16"/>
          <w:szCs w:val="16"/>
        </w:rPr>
        <w:t xml:space="preserve">El recurrente pierda su acreditación o registro; el recurrente fallezca o sea suspendido o privado de sus derechos político-electorales. </w:t>
      </w:r>
    </w:p>
    <w:p w:rsidR="00B254B3" w:rsidRPr="002E524F" w:rsidRDefault="00B254B3" w:rsidP="00B254B3">
      <w:pPr>
        <w:pStyle w:val="Textonotapie"/>
        <w:rPr>
          <w:rFonts w:ascii="Arial Nova" w:hAnsi="Arial Nova"/>
          <w:sz w:val="16"/>
          <w:szCs w:val="16"/>
        </w:rPr>
      </w:pPr>
      <w:r>
        <w:rPr>
          <w:rFonts w:ascii="Arial Nova" w:hAnsi="Arial Nova"/>
          <w:sz w:val="16"/>
          <w:szCs w:val="16"/>
        </w:rPr>
        <w:t xml:space="preserve">Cuando se actualice alguno de los supuestos a que se refieren las fracciones del párrafo anterior, la Magistrada o Magistrado que conozca del asunto propondrá el sobreseimiento al Pleno. </w:t>
      </w:r>
    </w:p>
  </w:footnote>
  <w:footnote w:id="7">
    <w:p w:rsidR="00B254B3" w:rsidRPr="00347A10" w:rsidRDefault="00B254B3" w:rsidP="00B254B3">
      <w:pPr>
        <w:pStyle w:val="Textonotapie"/>
        <w:rPr>
          <w:rFonts w:ascii="Arial Nova" w:hAnsi="Arial Nova"/>
          <w:sz w:val="16"/>
          <w:szCs w:val="16"/>
        </w:rPr>
      </w:pPr>
      <w:r>
        <w:rPr>
          <w:rStyle w:val="Refdenotaalpie"/>
        </w:rPr>
        <w:footnoteRef/>
      </w:r>
      <w:r>
        <w:t xml:space="preserve"> </w:t>
      </w:r>
      <w:r w:rsidRPr="00347A10">
        <w:rPr>
          <w:rFonts w:ascii="Arial Nova" w:hAnsi="Arial Nova"/>
          <w:sz w:val="16"/>
          <w:szCs w:val="16"/>
        </w:rPr>
        <w:t xml:space="preserve">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8">
    <w:p w:rsidR="00B254B3" w:rsidRPr="006242A6" w:rsidRDefault="00B254B3" w:rsidP="00B254B3">
      <w:pPr>
        <w:pStyle w:val="Textonotapie"/>
        <w:jc w:val="both"/>
        <w:rPr>
          <w:rFonts w:ascii="Arial Nova" w:hAnsi="Arial Nova"/>
          <w:sz w:val="16"/>
          <w:szCs w:val="16"/>
        </w:rPr>
      </w:pPr>
      <w:r w:rsidRPr="006242A6">
        <w:rPr>
          <w:rStyle w:val="Refdenotaalpie"/>
          <w:rFonts w:ascii="Arial Nova" w:hAnsi="Arial Nova"/>
          <w:sz w:val="16"/>
          <w:szCs w:val="16"/>
        </w:rPr>
        <w:footnoteRef/>
      </w:r>
      <w:r w:rsidRPr="006242A6">
        <w:rPr>
          <w:rFonts w:ascii="Arial Nova" w:hAnsi="Arial Nova"/>
          <w:sz w:val="16"/>
          <w:szCs w:val="16"/>
        </w:rPr>
        <w:t xml:space="preserve"> Consultable en Justicia Electoral. Revista del Tribunal Electoral del Poder Judicial de la Federación, Suplemento 6, Año 2003, páginas 37 y 38.</w:t>
      </w:r>
    </w:p>
  </w:footnote>
  <w:footnote w:id="9">
    <w:p w:rsidR="00B254B3" w:rsidRPr="006242A6" w:rsidRDefault="00B254B3" w:rsidP="00B254B3">
      <w:pPr>
        <w:pStyle w:val="Textonotapie"/>
        <w:jc w:val="both"/>
        <w:rPr>
          <w:rFonts w:ascii="Arial Nova" w:hAnsi="Arial Nova"/>
          <w:sz w:val="16"/>
          <w:szCs w:val="16"/>
        </w:rPr>
      </w:pPr>
      <w:r w:rsidRPr="006242A6">
        <w:rPr>
          <w:rStyle w:val="Refdenotaalpie"/>
          <w:rFonts w:ascii="Arial Nova" w:hAnsi="Arial Nova"/>
          <w:sz w:val="16"/>
          <w:szCs w:val="16"/>
        </w:rPr>
        <w:footnoteRef/>
      </w:r>
      <w:r w:rsidRPr="006242A6">
        <w:rPr>
          <w:rFonts w:ascii="Arial Nova" w:hAnsi="Arial Nova"/>
          <w:sz w:val="16"/>
          <w:szCs w:val="16"/>
        </w:rPr>
        <w:t xml:space="preserve"> Consultable en la URL: </w:t>
      </w:r>
      <w:hyperlink r:id="rId5" w:history="1">
        <w:r w:rsidRPr="006242A6">
          <w:rPr>
            <w:rStyle w:val="Hipervnculo"/>
            <w:rFonts w:ascii="Arial Nova" w:hAnsi="Arial Nova"/>
            <w:sz w:val="16"/>
            <w:szCs w:val="16"/>
          </w:rPr>
          <w:t>https://www.te.gob.mx/Informacion_juridiccional/sesion_publica/ejecutoria/sentencias/SUP-JDC-0304-2018.pdf</w:t>
        </w:r>
      </w:hyperlink>
      <w:r w:rsidRPr="006242A6">
        <w:rPr>
          <w:rFonts w:ascii="Arial Nova" w:hAnsi="Arial Nov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240" w:rsidRPr="00FE1099" w:rsidRDefault="00FE6240" w:rsidP="00FE1099">
    <w:pPr>
      <w:pStyle w:val="Encabezado"/>
      <w:jc w:val="right"/>
      <w:rPr>
        <w:rFonts w:ascii="Arial Nova" w:hAnsi="Arial Nova" w:cs="Arial"/>
        <w:b/>
        <w:sz w:val="16"/>
        <w:szCs w:val="16"/>
      </w:rPr>
    </w:pPr>
    <w:r w:rsidRPr="00FE1099">
      <w:rPr>
        <w:rFonts w:ascii="Arial Nova" w:hAnsi="Arial Nova"/>
        <w:noProof/>
        <w:sz w:val="16"/>
        <w:szCs w:val="16"/>
      </w:rPr>
      <w:drawing>
        <wp:anchor distT="0" distB="0" distL="114300" distR="114300" simplePos="0" relativeHeight="251660288" behindDoc="0" locked="0" layoutInCell="1" allowOverlap="1" wp14:anchorId="4ABB7FE9" wp14:editId="1626EB02">
          <wp:simplePos x="0" y="0"/>
          <wp:positionH relativeFrom="margin">
            <wp:align>left</wp:align>
          </wp:positionH>
          <wp:positionV relativeFrom="paragraph">
            <wp:posOffset>10017</wp:posOffset>
          </wp:positionV>
          <wp:extent cx="1180011" cy="1404745"/>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00FE1099" w:rsidRPr="00FE1099">
      <w:rPr>
        <w:rFonts w:ascii="Arial Nova" w:hAnsi="Arial Nova" w:cs="Arial"/>
        <w:b/>
        <w:sz w:val="16"/>
        <w:szCs w:val="16"/>
      </w:rPr>
      <w:t>TEEA-JDC-</w:t>
    </w:r>
    <w:r w:rsidR="00E734D8">
      <w:rPr>
        <w:rFonts w:ascii="Arial Nova" w:hAnsi="Arial Nova" w:cs="Arial"/>
        <w:b/>
        <w:sz w:val="16"/>
        <w:szCs w:val="16"/>
      </w:rPr>
      <w:t>021</w:t>
    </w:r>
    <w:r w:rsidR="00FE1099" w:rsidRPr="00FE1099">
      <w:rPr>
        <w:rFonts w:ascii="Arial Nova" w:hAnsi="Arial Nova" w:cs="Arial"/>
        <w:b/>
        <w:sz w:val="16"/>
        <w:szCs w:val="16"/>
      </w:rPr>
      <w:t>/2019</w:t>
    </w:r>
    <w:r w:rsidRPr="00FE1099">
      <w:rPr>
        <w:rFonts w:ascii="Arial Nova" w:hAnsi="Arial Nova" w:cs="Arial"/>
        <w:b/>
        <w:sz w:val="16"/>
        <w:szCs w:val="16"/>
      </w:rPr>
      <w:t xml:space="preserve">                                                               </w:t>
    </w:r>
  </w:p>
  <w:p w:rsidR="00FE6240" w:rsidRDefault="00FE6240" w:rsidP="00FE6240">
    <w:pPr>
      <w:pStyle w:val="Encabezado"/>
      <w:jc w:val="center"/>
      <w:rPr>
        <w:rFonts w:ascii="Arial" w:hAnsi="Arial" w:cs="Arial"/>
        <w:b/>
        <w:sz w:val="18"/>
        <w:szCs w:val="18"/>
      </w:rPr>
    </w:pPr>
  </w:p>
  <w:p w:rsidR="00FE6240" w:rsidRPr="00A46BD3" w:rsidRDefault="006E7BB2" w:rsidP="00FE6240">
    <w:pPr>
      <w:pStyle w:val="Encabezado"/>
      <w:rPr>
        <w:rFonts w:ascii="Century Gothic" w:hAnsi="Century Gothic"/>
      </w:rPr>
    </w:pPr>
    <w:sdt>
      <w:sdtPr>
        <w:rPr>
          <w:rFonts w:ascii="Century Gothic" w:hAnsi="Century Gothic"/>
        </w:rPr>
        <w:id w:val="-875699394"/>
        <w:docPartObj>
          <w:docPartGallery w:val="Page Numbers (Margins)"/>
          <w:docPartUnique/>
        </w:docPartObj>
      </w:sdtPr>
      <w:sdtEndPr/>
      <w:sdtContent>
        <w:r w:rsidR="00FE6240" w:rsidRPr="00932419">
          <w:rPr>
            <w:rFonts w:ascii="Century Gothic" w:hAnsi="Century Gothic"/>
            <w:noProof/>
          </w:rPr>
          <mc:AlternateContent>
            <mc:Choice Requires="wps">
              <w:drawing>
                <wp:anchor distT="0" distB="0" distL="114300" distR="114300" simplePos="0" relativeHeight="251659264" behindDoc="0" locked="0" layoutInCell="0" allowOverlap="1" wp14:anchorId="6E126BA3" wp14:editId="53B84A18">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240" w:rsidRPr="00932419" w:rsidRDefault="00FE6240">
                              <w:pPr>
                                <w:jc w:val="center"/>
                                <w:rPr>
                                  <w:rFonts w:ascii="Century Gothic" w:eastAsiaTheme="majorEastAsia" w:hAnsi="Century Gothic" w:cstheme="majorBidi"/>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6BA3"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p w:rsidR="00FE6240" w:rsidRPr="00932419" w:rsidRDefault="00FE6240">
                        <w:pPr>
                          <w:jc w:val="center"/>
                          <w:rPr>
                            <w:rFonts w:ascii="Century Gothic" w:eastAsiaTheme="majorEastAsia" w:hAnsi="Century Gothic" w:cstheme="majorBidi"/>
                            <w:b/>
                            <w:sz w:val="72"/>
                            <w:szCs w:val="72"/>
                          </w:rPr>
                        </w:pPr>
                      </w:p>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DA9"/>
    <w:multiLevelType w:val="hybridMultilevel"/>
    <w:tmpl w:val="773A8E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EB7938"/>
    <w:multiLevelType w:val="multilevel"/>
    <w:tmpl w:val="6B5655C0"/>
    <w:lvl w:ilvl="0">
      <w:start w:val="6"/>
      <w:numFmt w:val="decimal"/>
      <w:lvlText w:val="%1."/>
      <w:lvlJc w:val="left"/>
      <w:pPr>
        <w:ind w:left="502" w:hanging="360"/>
      </w:pPr>
      <w:rPr>
        <w:rFonts w:hint="default"/>
        <w:b/>
        <w:color w:val="000000"/>
      </w:rPr>
    </w:lvl>
    <w:lvl w:ilvl="1">
      <w:start w:val="1"/>
      <w:numFmt w:val="decimal"/>
      <w:isLgl/>
      <w:lvlText w:val="%1.%2."/>
      <w:lvlJc w:val="left"/>
      <w:pPr>
        <w:ind w:left="862" w:hanging="720"/>
      </w:pPr>
      <w:rPr>
        <w:rFonts w:hint="default"/>
        <w:b/>
        <w:color w:val="000000"/>
      </w:rPr>
    </w:lvl>
    <w:lvl w:ilvl="2">
      <w:start w:val="1"/>
      <w:numFmt w:val="decimal"/>
      <w:isLgl/>
      <w:lvlText w:val="%1.%2.%3."/>
      <w:lvlJc w:val="left"/>
      <w:pPr>
        <w:ind w:left="862" w:hanging="720"/>
      </w:pPr>
      <w:rPr>
        <w:rFonts w:hint="default"/>
        <w:b/>
        <w:color w:val="000000"/>
      </w:rPr>
    </w:lvl>
    <w:lvl w:ilvl="3">
      <w:start w:val="1"/>
      <w:numFmt w:val="decimal"/>
      <w:isLgl/>
      <w:lvlText w:val="%1.%2.%3.%4."/>
      <w:lvlJc w:val="left"/>
      <w:pPr>
        <w:ind w:left="1222" w:hanging="1080"/>
      </w:pPr>
      <w:rPr>
        <w:rFonts w:hint="default"/>
        <w:b/>
        <w:color w:val="000000"/>
      </w:rPr>
    </w:lvl>
    <w:lvl w:ilvl="4">
      <w:start w:val="1"/>
      <w:numFmt w:val="decimal"/>
      <w:isLgl/>
      <w:lvlText w:val="%1.%2.%3.%4.%5."/>
      <w:lvlJc w:val="left"/>
      <w:pPr>
        <w:ind w:left="1222" w:hanging="1080"/>
      </w:pPr>
      <w:rPr>
        <w:rFonts w:hint="default"/>
        <w:b/>
        <w:color w:val="000000"/>
      </w:rPr>
    </w:lvl>
    <w:lvl w:ilvl="5">
      <w:start w:val="1"/>
      <w:numFmt w:val="decimal"/>
      <w:isLgl/>
      <w:lvlText w:val="%1.%2.%3.%4.%5.%6."/>
      <w:lvlJc w:val="left"/>
      <w:pPr>
        <w:ind w:left="1582" w:hanging="1440"/>
      </w:pPr>
      <w:rPr>
        <w:rFonts w:hint="default"/>
        <w:b/>
        <w:color w:val="000000"/>
      </w:rPr>
    </w:lvl>
    <w:lvl w:ilvl="6">
      <w:start w:val="1"/>
      <w:numFmt w:val="decimal"/>
      <w:isLgl/>
      <w:lvlText w:val="%1.%2.%3.%4.%5.%6.%7."/>
      <w:lvlJc w:val="left"/>
      <w:pPr>
        <w:ind w:left="1582" w:hanging="1440"/>
      </w:pPr>
      <w:rPr>
        <w:rFonts w:hint="default"/>
        <w:b/>
        <w:color w:val="000000"/>
      </w:rPr>
    </w:lvl>
    <w:lvl w:ilvl="7">
      <w:start w:val="1"/>
      <w:numFmt w:val="decimal"/>
      <w:isLgl/>
      <w:lvlText w:val="%1.%2.%3.%4.%5.%6.%7.%8."/>
      <w:lvlJc w:val="left"/>
      <w:pPr>
        <w:ind w:left="1942" w:hanging="1800"/>
      </w:pPr>
      <w:rPr>
        <w:rFonts w:hint="default"/>
        <w:b/>
        <w:color w:val="000000"/>
      </w:rPr>
    </w:lvl>
    <w:lvl w:ilvl="8">
      <w:start w:val="1"/>
      <w:numFmt w:val="decimal"/>
      <w:isLgl/>
      <w:lvlText w:val="%1.%2.%3.%4.%5.%6.%7.%8.%9."/>
      <w:lvlJc w:val="left"/>
      <w:pPr>
        <w:ind w:left="1942" w:hanging="1800"/>
      </w:pPr>
      <w:rPr>
        <w:rFonts w:hint="default"/>
        <w:b/>
        <w:color w:val="000000"/>
      </w:rPr>
    </w:lvl>
  </w:abstractNum>
  <w:abstractNum w:abstractNumId="2"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C2BA2"/>
    <w:multiLevelType w:val="hybridMultilevel"/>
    <w:tmpl w:val="2CF88A20"/>
    <w:lvl w:ilvl="0" w:tplc="080A0001">
      <w:start w:val="1"/>
      <w:numFmt w:val="bullet"/>
      <w:lvlText w:val=""/>
      <w:lvlJc w:val="left"/>
      <w:pPr>
        <w:ind w:left="2595" w:hanging="360"/>
      </w:pPr>
      <w:rPr>
        <w:rFonts w:ascii="Symbol" w:hAnsi="Symbol" w:hint="default"/>
      </w:rPr>
    </w:lvl>
    <w:lvl w:ilvl="1" w:tplc="080A0003" w:tentative="1">
      <w:start w:val="1"/>
      <w:numFmt w:val="bullet"/>
      <w:lvlText w:val="o"/>
      <w:lvlJc w:val="left"/>
      <w:pPr>
        <w:ind w:left="3315" w:hanging="360"/>
      </w:pPr>
      <w:rPr>
        <w:rFonts w:ascii="Courier New" w:hAnsi="Courier New" w:cs="Courier New" w:hint="default"/>
      </w:rPr>
    </w:lvl>
    <w:lvl w:ilvl="2" w:tplc="080A0005" w:tentative="1">
      <w:start w:val="1"/>
      <w:numFmt w:val="bullet"/>
      <w:lvlText w:val=""/>
      <w:lvlJc w:val="left"/>
      <w:pPr>
        <w:ind w:left="4035" w:hanging="360"/>
      </w:pPr>
      <w:rPr>
        <w:rFonts w:ascii="Wingdings" w:hAnsi="Wingdings" w:hint="default"/>
      </w:rPr>
    </w:lvl>
    <w:lvl w:ilvl="3" w:tplc="080A0001" w:tentative="1">
      <w:start w:val="1"/>
      <w:numFmt w:val="bullet"/>
      <w:lvlText w:val=""/>
      <w:lvlJc w:val="left"/>
      <w:pPr>
        <w:ind w:left="4755" w:hanging="360"/>
      </w:pPr>
      <w:rPr>
        <w:rFonts w:ascii="Symbol" w:hAnsi="Symbol" w:hint="default"/>
      </w:rPr>
    </w:lvl>
    <w:lvl w:ilvl="4" w:tplc="080A0003" w:tentative="1">
      <w:start w:val="1"/>
      <w:numFmt w:val="bullet"/>
      <w:lvlText w:val="o"/>
      <w:lvlJc w:val="left"/>
      <w:pPr>
        <w:ind w:left="5475" w:hanging="360"/>
      </w:pPr>
      <w:rPr>
        <w:rFonts w:ascii="Courier New" w:hAnsi="Courier New" w:cs="Courier New" w:hint="default"/>
      </w:rPr>
    </w:lvl>
    <w:lvl w:ilvl="5" w:tplc="080A0005" w:tentative="1">
      <w:start w:val="1"/>
      <w:numFmt w:val="bullet"/>
      <w:lvlText w:val=""/>
      <w:lvlJc w:val="left"/>
      <w:pPr>
        <w:ind w:left="6195" w:hanging="360"/>
      </w:pPr>
      <w:rPr>
        <w:rFonts w:ascii="Wingdings" w:hAnsi="Wingdings" w:hint="default"/>
      </w:rPr>
    </w:lvl>
    <w:lvl w:ilvl="6" w:tplc="080A0001" w:tentative="1">
      <w:start w:val="1"/>
      <w:numFmt w:val="bullet"/>
      <w:lvlText w:val=""/>
      <w:lvlJc w:val="left"/>
      <w:pPr>
        <w:ind w:left="6915" w:hanging="360"/>
      </w:pPr>
      <w:rPr>
        <w:rFonts w:ascii="Symbol" w:hAnsi="Symbol" w:hint="default"/>
      </w:rPr>
    </w:lvl>
    <w:lvl w:ilvl="7" w:tplc="080A0003" w:tentative="1">
      <w:start w:val="1"/>
      <w:numFmt w:val="bullet"/>
      <w:lvlText w:val="o"/>
      <w:lvlJc w:val="left"/>
      <w:pPr>
        <w:ind w:left="7635" w:hanging="360"/>
      </w:pPr>
      <w:rPr>
        <w:rFonts w:ascii="Courier New" w:hAnsi="Courier New" w:cs="Courier New" w:hint="default"/>
      </w:rPr>
    </w:lvl>
    <w:lvl w:ilvl="8" w:tplc="080A0005" w:tentative="1">
      <w:start w:val="1"/>
      <w:numFmt w:val="bullet"/>
      <w:lvlText w:val=""/>
      <w:lvlJc w:val="left"/>
      <w:pPr>
        <w:ind w:left="8355" w:hanging="360"/>
      </w:pPr>
      <w:rPr>
        <w:rFonts w:ascii="Wingdings" w:hAnsi="Wingdings" w:hint="default"/>
      </w:rPr>
    </w:lvl>
  </w:abstractNum>
  <w:abstractNum w:abstractNumId="4"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1ACF3C46"/>
    <w:multiLevelType w:val="hybridMultilevel"/>
    <w:tmpl w:val="D2EE8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181678"/>
    <w:multiLevelType w:val="hybridMultilevel"/>
    <w:tmpl w:val="D5F00936"/>
    <w:lvl w:ilvl="0" w:tplc="9C5A9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486117"/>
    <w:multiLevelType w:val="hybridMultilevel"/>
    <w:tmpl w:val="C5C6B6D0"/>
    <w:lvl w:ilvl="0" w:tplc="38F2E6A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9D684E"/>
    <w:multiLevelType w:val="hybridMultilevel"/>
    <w:tmpl w:val="21227ACA"/>
    <w:lvl w:ilvl="0" w:tplc="84E4B2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2E07A0F"/>
    <w:multiLevelType w:val="multilevel"/>
    <w:tmpl w:val="B08EDFE8"/>
    <w:lvl w:ilvl="0">
      <w:start w:val="7"/>
      <w:numFmt w:val="decimal"/>
      <w:lvlText w:val="%1."/>
      <w:lvlJc w:val="left"/>
      <w:pPr>
        <w:ind w:left="390" w:hanging="390"/>
      </w:pPr>
      <w:rPr>
        <w:rFonts w:hint="default"/>
        <w:b/>
      </w:rPr>
    </w:lvl>
    <w:lvl w:ilvl="1">
      <w:start w:val="1"/>
      <w:numFmt w:val="decimal"/>
      <w:lvlText w:val="%1.%2."/>
      <w:lvlJc w:val="left"/>
      <w:pPr>
        <w:ind w:left="436" w:hanging="72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472" w:hanging="1800"/>
      </w:pPr>
      <w:rPr>
        <w:rFonts w:hint="default"/>
        <w:b/>
      </w:rPr>
    </w:lvl>
  </w:abstractNum>
  <w:abstractNum w:abstractNumId="10"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11" w15:restartNumberingAfterBreak="0">
    <w:nsid w:val="417A302A"/>
    <w:multiLevelType w:val="hybridMultilevel"/>
    <w:tmpl w:val="86E80C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544D"/>
    <w:multiLevelType w:val="hybridMultilevel"/>
    <w:tmpl w:val="82B000F6"/>
    <w:lvl w:ilvl="0" w:tplc="2A229D84">
      <w:start w:val="1"/>
      <w:numFmt w:val="lowerLetter"/>
      <w:lvlText w:val="%1)"/>
      <w:lvlJc w:val="left"/>
      <w:pPr>
        <w:ind w:left="720" w:hanging="360"/>
      </w:pPr>
      <w:rPr>
        <w:rFonts w:ascii="Arial Nova" w:eastAsiaTheme="minorHAnsi" w:hAnsi="Arial Nova"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B2AC0"/>
    <w:multiLevelType w:val="multilevel"/>
    <w:tmpl w:val="F294D462"/>
    <w:lvl w:ilvl="0">
      <w:start w:val="1"/>
      <w:numFmt w:val="decimal"/>
      <w:lvlText w:val="%1."/>
      <w:lvlJc w:val="left"/>
      <w:pPr>
        <w:ind w:left="502" w:hanging="360"/>
      </w:pPr>
      <w:rPr>
        <w:b/>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47640B2C"/>
    <w:multiLevelType w:val="multilevel"/>
    <w:tmpl w:val="7FF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56380"/>
    <w:multiLevelType w:val="hybridMultilevel"/>
    <w:tmpl w:val="7DA0D80A"/>
    <w:lvl w:ilvl="0" w:tplc="84E4B2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BA0020E"/>
    <w:multiLevelType w:val="hybridMultilevel"/>
    <w:tmpl w:val="90DCF0B2"/>
    <w:lvl w:ilvl="0" w:tplc="005872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E01D97"/>
    <w:multiLevelType w:val="hybridMultilevel"/>
    <w:tmpl w:val="B1D83F9A"/>
    <w:lvl w:ilvl="0" w:tplc="617AE9BC">
      <w:start w:val="1"/>
      <w:numFmt w:val="decimal"/>
      <w:lvlText w:val="%1"/>
      <w:lvlJc w:val="left"/>
      <w:pPr>
        <w:ind w:left="2629" w:hanging="360"/>
      </w:pPr>
      <w:rPr>
        <w:rFonts w:ascii="Arial" w:hAnsi="Arial" w:cs="Arial" w:hint="default"/>
        <w:b w:val="0"/>
        <w:i w:val="0"/>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103976"/>
    <w:multiLevelType w:val="hybridMultilevel"/>
    <w:tmpl w:val="1EA864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1571D1"/>
    <w:multiLevelType w:val="multilevel"/>
    <w:tmpl w:val="F77050A4"/>
    <w:lvl w:ilvl="0">
      <w:start w:val="1"/>
      <w:numFmt w:val="decimal"/>
      <w:lvlText w:val="%1."/>
      <w:lvlJc w:val="left"/>
      <w:pPr>
        <w:ind w:left="390" w:hanging="390"/>
      </w:pPr>
      <w:rPr>
        <w:b/>
      </w:rPr>
    </w:lvl>
    <w:lvl w:ilvl="1">
      <w:start w:val="1"/>
      <w:numFmt w:val="decimal"/>
      <w:lvlText w:val="%1.%2."/>
      <w:lvlJc w:val="left"/>
      <w:pPr>
        <w:ind w:left="1004" w:hanging="720"/>
      </w:pPr>
      <w:rPr>
        <w:b/>
      </w:rPr>
    </w:lvl>
    <w:lvl w:ilvl="2">
      <w:start w:val="1"/>
      <w:numFmt w:val="decimal"/>
      <w:lvlText w:val="%1.%2.%3."/>
      <w:lvlJc w:val="left"/>
      <w:pPr>
        <w:ind w:left="1145" w:hanging="720"/>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0" w15:restartNumberingAfterBreak="0">
    <w:nsid w:val="4F040BEA"/>
    <w:multiLevelType w:val="hybridMultilevel"/>
    <w:tmpl w:val="DF287DD6"/>
    <w:lvl w:ilvl="0" w:tplc="14CC1B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E7DAD"/>
    <w:multiLevelType w:val="hybridMultilevel"/>
    <w:tmpl w:val="4972302E"/>
    <w:lvl w:ilvl="0" w:tplc="CDA4C2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C07265"/>
    <w:multiLevelType w:val="hybridMultilevel"/>
    <w:tmpl w:val="7E003A28"/>
    <w:lvl w:ilvl="0" w:tplc="5C56A362">
      <w:start w:val="1"/>
      <w:numFmt w:val="lowerLetter"/>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58CA03DF"/>
    <w:multiLevelType w:val="hybridMultilevel"/>
    <w:tmpl w:val="04186E22"/>
    <w:lvl w:ilvl="0" w:tplc="8B2C8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774CF"/>
    <w:multiLevelType w:val="hybridMultilevel"/>
    <w:tmpl w:val="F5BE1A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FC4FF3"/>
    <w:multiLevelType w:val="hybridMultilevel"/>
    <w:tmpl w:val="46AA629C"/>
    <w:lvl w:ilvl="0" w:tplc="7F845758">
      <w:start w:val="1"/>
      <w:numFmt w:val="low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5C271A29"/>
    <w:multiLevelType w:val="multilevel"/>
    <w:tmpl w:val="2D462466"/>
    <w:lvl w:ilvl="0">
      <w:start w:val="3"/>
      <w:numFmt w:val="decimal"/>
      <w:lvlText w:val="%1."/>
      <w:lvlJc w:val="left"/>
      <w:pPr>
        <w:ind w:left="502" w:hanging="360"/>
      </w:pPr>
      <w:rPr>
        <w:rFonts w:hint="default"/>
        <w:b/>
        <w:color w:val="auto"/>
      </w:rPr>
    </w:lvl>
    <w:lvl w:ilvl="1">
      <w:start w:val="1"/>
      <w:numFmt w:val="decimal"/>
      <w:isLgl/>
      <w:lvlText w:val="%1.%2."/>
      <w:lvlJc w:val="left"/>
      <w:pPr>
        <w:ind w:left="862" w:hanging="720"/>
      </w:pPr>
      <w:rPr>
        <w:rFonts w:hint="default"/>
        <w:b/>
        <w:color w:val="000000"/>
      </w:rPr>
    </w:lvl>
    <w:lvl w:ilvl="2">
      <w:start w:val="1"/>
      <w:numFmt w:val="decimal"/>
      <w:isLgl/>
      <w:lvlText w:val="%1.%2.%3."/>
      <w:lvlJc w:val="left"/>
      <w:pPr>
        <w:ind w:left="862" w:hanging="720"/>
      </w:pPr>
      <w:rPr>
        <w:rFonts w:hint="default"/>
        <w:b/>
        <w:color w:val="000000"/>
      </w:rPr>
    </w:lvl>
    <w:lvl w:ilvl="3">
      <w:start w:val="1"/>
      <w:numFmt w:val="decimal"/>
      <w:isLgl/>
      <w:lvlText w:val="%1.%2.%3.%4."/>
      <w:lvlJc w:val="left"/>
      <w:pPr>
        <w:ind w:left="1222" w:hanging="1080"/>
      </w:pPr>
      <w:rPr>
        <w:rFonts w:hint="default"/>
        <w:b/>
        <w:color w:val="000000"/>
      </w:rPr>
    </w:lvl>
    <w:lvl w:ilvl="4">
      <w:start w:val="1"/>
      <w:numFmt w:val="decimal"/>
      <w:isLgl/>
      <w:lvlText w:val="%1.%2.%3.%4.%5."/>
      <w:lvlJc w:val="left"/>
      <w:pPr>
        <w:ind w:left="1222" w:hanging="1080"/>
      </w:pPr>
      <w:rPr>
        <w:rFonts w:hint="default"/>
        <w:b/>
        <w:color w:val="000000"/>
      </w:rPr>
    </w:lvl>
    <w:lvl w:ilvl="5">
      <w:start w:val="1"/>
      <w:numFmt w:val="decimal"/>
      <w:isLgl/>
      <w:lvlText w:val="%1.%2.%3.%4.%5.%6."/>
      <w:lvlJc w:val="left"/>
      <w:pPr>
        <w:ind w:left="1582" w:hanging="1440"/>
      </w:pPr>
      <w:rPr>
        <w:rFonts w:hint="default"/>
        <w:b/>
        <w:color w:val="000000"/>
      </w:rPr>
    </w:lvl>
    <w:lvl w:ilvl="6">
      <w:start w:val="1"/>
      <w:numFmt w:val="decimal"/>
      <w:isLgl/>
      <w:lvlText w:val="%1.%2.%3.%4.%5.%6.%7."/>
      <w:lvlJc w:val="left"/>
      <w:pPr>
        <w:ind w:left="1582" w:hanging="1440"/>
      </w:pPr>
      <w:rPr>
        <w:rFonts w:hint="default"/>
        <w:b/>
        <w:color w:val="000000"/>
      </w:rPr>
    </w:lvl>
    <w:lvl w:ilvl="7">
      <w:start w:val="1"/>
      <w:numFmt w:val="decimal"/>
      <w:isLgl/>
      <w:lvlText w:val="%1.%2.%3.%4.%5.%6.%7.%8."/>
      <w:lvlJc w:val="left"/>
      <w:pPr>
        <w:ind w:left="1942" w:hanging="1800"/>
      </w:pPr>
      <w:rPr>
        <w:rFonts w:hint="default"/>
        <w:b/>
        <w:color w:val="000000"/>
      </w:rPr>
    </w:lvl>
    <w:lvl w:ilvl="8">
      <w:start w:val="1"/>
      <w:numFmt w:val="decimal"/>
      <w:isLgl/>
      <w:lvlText w:val="%1.%2.%3.%4.%5.%6.%7.%8.%9."/>
      <w:lvlJc w:val="left"/>
      <w:pPr>
        <w:ind w:left="1942" w:hanging="1800"/>
      </w:pPr>
      <w:rPr>
        <w:rFonts w:hint="default"/>
        <w:b/>
        <w:color w:val="000000"/>
      </w:rPr>
    </w:lvl>
  </w:abstractNum>
  <w:abstractNum w:abstractNumId="27" w15:restartNumberingAfterBreak="0">
    <w:nsid w:val="5DC80B50"/>
    <w:multiLevelType w:val="hybridMultilevel"/>
    <w:tmpl w:val="D76CD002"/>
    <w:lvl w:ilvl="0" w:tplc="5DE8E2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7B7149"/>
    <w:multiLevelType w:val="hybridMultilevel"/>
    <w:tmpl w:val="0ED419DA"/>
    <w:lvl w:ilvl="0" w:tplc="16AAD21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FA6513"/>
    <w:multiLevelType w:val="hybridMultilevel"/>
    <w:tmpl w:val="C74A1626"/>
    <w:lvl w:ilvl="0" w:tplc="06B4AB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DC4BC7"/>
    <w:multiLevelType w:val="hybridMultilevel"/>
    <w:tmpl w:val="EDFA4DD6"/>
    <w:lvl w:ilvl="0" w:tplc="8DB254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3148EA"/>
    <w:multiLevelType w:val="hybridMultilevel"/>
    <w:tmpl w:val="39A6F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DD7913"/>
    <w:multiLevelType w:val="hybridMultilevel"/>
    <w:tmpl w:val="4AD4129C"/>
    <w:lvl w:ilvl="0" w:tplc="47DE7CDE">
      <w:start w:val="6"/>
      <w:numFmt w:val="decimal"/>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15:restartNumberingAfterBreak="0">
    <w:nsid w:val="6B777894"/>
    <w:multiLevelType w:val="hybridMultilevel"/>
    <w:tmpl w:val="1F3CC516"/>
    <w:lvl w:ilvl="0" w:tplc="84E4B26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CE6790F"/>
    <w:multiLevelType w:val="multilevel"/>
    <w:tmpl w:val="B7B07A1C"/>
    <w:lvl w:ilvl="0">
      <w:start w:val="2"/>
      <w:numFmt w:val="decimal"/>
      <w:lvlText w:val="%1."/>
      <w:lvlJc w:val="left"/>
      <w:pPr>
        <w:ind w:left="644" w:hanging="360"/>
      </w:pPr>
      <w:rPr>
        <w:rFonts w:hint="default"/>
        <w:b/>
      </w:rPr>
    </w:lvl>
    <w:lvl w:ilvl="1">
      <w:start w:val="1"/>
      <w:numFmt w:val="decimal"/>
      <w:isLgl/>
      <w:lvlText w:val="%1.%2."/>
      <w:lvlJc w:val="left"/>
      <w:pPr>
        <w:ind w:left="1004" w:hanging="720"/>
      </w:pPr>
      <w:rPr>
        <w:rFonts w:hint="default"/>
        <w:b/>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6" w15:restartNumberingAfterBreak="0">
    <w:nsid w:val="6F380D43"/>
    <w:multiLevelType w:val="hybridMultilevel"/>
    <w:tmpl w:val="184C9A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A3717A"/>
    <w:multiLevelType w:val="hybridMultilevel"/>
    <w:tmpl w:val="90ACBC3E"/>
    <w:lvl w:ilvl="0" w:tplc="29A04C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1664F1"/>
    <w:multiLevelType w:val="hybridMultilevel"/>
    <w:tmpl w:val="E3D870E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4"/>
  </w:num>
  <w:num w:numId="5">
    <w:abstractNumId w:val="2"/>
  </w:num>
  <w:num w:numId="6">
    <w:abstractNumId w:val="27"/>
  </w:num>
  <w:num w:numId="7">
    <w:abstractNumId w:val="14"/>
  </w:num>
  <w:num w:numId="8">
    <w:abstractNumId w:val="2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5"/>
  </w:num>
  <w:num w:numId="12">
    <w:abstractNumId w:val="1"/>
  </w:num>
  <w:num w:numId="13">
    <w:abstractNumId w:val="9"/>
  </w:num>
  <w:num w:numId="14">
    <w:abstractNumId w:val="37"/>
  </w:num>
  <w:num w:numId="15">
    <w:abstractNumId w:val="12"/>
  </w:num>
  <w:num w:numId="16">
    <w:abstractNumId w:val="0"/>
  </w:num>
  <w:num w:numId="17">
    <w:abstractNumId w:val="15"/>
  </w:num>
  <w:num w:numId="18">
    <w:abstractNumId w:val="5"/>
  </w:num>
  <w:num w:numId="19">
    <w:abstractNumId w:val="16"/>
  </w:num>
  <w:num w:numId="20">
    <w:abstractNumId w:val="29"/>
  </w:num>
  <w:num w:numId="21">
    <w:abstractNumId w:val="32"/>
  </w:num>
  <w:num w:numId="22">
    <w:abstractNumId w:val="34"/>
  </w:num>
  <w:num w:numId="23">
    <w:abstractNumId w:val="8"/>
  </w:num>
  <w:num w:numId="24">
    <w:abstractNumId w:val="30"/>
  </w:num>
  <w:num w:numId="25">
    <w:abstractNumId w:val="20"/>
  </w:num>
  <w:num w:numId="26">
    <w:abstractNumId w:val="38"/>
  </w:num>
  <w:num w:numId="27">
    <w:abstractNumId w:val="21"/>
  </w:num>
  <w:num w:numId="28">
    <w:abstractNumId w:val="18"/>
  </w:num>
  <w:num w:numId="29">
    <w:abstractNumId w:val="22"/>
  </w:num>
  <w:num w:numId="30">
    <w:abstractNumId w:val="23"/>
  </w:num>
  <w:num w:numId="31">
    <w:abstractNumId w:val="33"/>
  </w:num>
  <w:num w:numId="32">
    <w:abstractNumId w:val="19"/>
  </w:num>
  <w:num w:numId="33">
    <w:abstractNumId w:val="24"/>
  </w:num>
  <w:num w:numId="34">
    <w:abstractNumId w:val="28"/>
  </w:num>
  <w:num w:numId="35">
    <w:abstractNumId w:val="7"/>
  </w:num>
  <w:num w:numId="36">
    <w:abstractNumId w:val="11"/>
  </w:num>
  <w:num w:numId="37">
    <w:abstractNumId w:val="36"/>
  </w:num>
  <w:num w:numId="38">
    <w:abstractNumId w:val="17"/>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40"/>
    <w:rsid w:val="00013E10"/>
    <w:rsid w:val="0002016E"/>
    <w:rsid w:val="00020608"/>
    <w:rsid w:val="00043A8C"/>
    <w:rsid w:val="000508D4"/>
    <w:rsid w:val="00080AC4"/>
    <w:rsid w:val="00085B0C"/>
    <w:rsid w:val="000A3298"/>
    <w:rsid w:val="000A3575"/>
    <w:rsid w:val="000B65E0"/>
    <w:rsid w:val="000D0151"/>
    <w:rsid w:val="000E3872"/>
    <w:rsid w:val="000F4258"/>
    <w:rsid w:val="00102A69"/>
    <w:rsid w:val="00181DD5"/>
    <w:rsid w:val="00185B95"/>
    <w:rsid w:val="001B42B5"/>
    <w:rsid w:val="002119D2"/>
    <w:rsid w:val="00214319"/>
    <w:rsid w:val="0023140E"/>
    <w:rsid w:val="0024389F"/>
    <w:rsid w:val="00251942"/>
    <w:rsid w:val="002521E6"/>
    <w:rsid w:val="0028714E"/>
    <w:rsid w:val="002C48BC"/>
    <w:rsid w:val="002E5F10"/>
    <w:rsid w:val="00316965"/>
    <w:rsid w:val="00335DD8"/>
    <w:rsid w:val="00351556"/>
    <w:rsid w:val="0035420E"/>
    <w:rsid w:val="00391A70"/>
    <w:rsid w:val="003C3817"/>
    <w:rsid w:val="003D0476"/>
    <w:rsid w:val="003F306F"/>
    <w:rsid w:val="00412769"/>
    <w:rsid w:val="0041616E"/>
    <w:rsid w:val="00423163"/>
    <w:rsid w:val="0043031F"/>
    <w:rsid w:val="00440C83"/>
    <w:rsid w:val="004553D5"/>
    <w:rsid w:val="00476877"/>
    <w:rsid w:val="004D2E8F"/>
    <w:rsid w:val="004F116D"/>
    <w:rsid w:val="005171AF"/>
    <w:rsid w:val="0052267B"/>
    <w:rsid w:val="00533828"/>
    <w:rsid w:val="00582799"/>
    <w:rsid w:val="005D5A9E"/>
    <w:rsid w:val="005E273B"/>
    <w:rsid w:val="005F0879"/>
    <w:rsid w:val="00655253"/>
    <w:rsid w:val="00657DBF"/>
    <w:rsid w:val="00686A32"/>
    <w:rsid w:val="0069360F"/>
    <w:rsid w:val="0069503B"/>
    <w:rsid w:val="006C3281"/>
    <w:rsid w:val="006E3425"/>
    <w:rsid w:val="006E7BB2"/>
    <w:rsid w:val="007259AC"/>
    <w:rsid w:val="00775EF3"/>
    <w:rsid w:val="007C40DC"/>
    <w:rsid w:val="007C499E"/>
    <w:rsid w:val="00843461"/>
    <w:rsid w:val="008437C9"/>
    <w:rsid w:val="00863552"/>
    <w:rsid w:val="0087720E"/>
    <w:rsid w:val="00885654"/>
    <w:rsid w:val="008A0BFF"/>
    <w:rsid w:val="008B443C"/>
    <w:rsid w:val="008D5012"/>
    <w:rsid w:val="00906FC6"/>
    <w:rsid w:val="0092424F"/>
    <w:rsid w:val="00926AE5"/>
    <w:rsid w:val="009747AC"/>
    <w:rsid w:val="00993C02"/>
    <w:rsid w:val="009C7D9E"/>
    <w:rsid w:val="009D5130"/>
    <w:rsid w:val="00A24F37"/>
    <w:rsid w:val="00A27443"/>
    <w:rsid w:val="00A4006F"/>
    <w:rsid w:val="00A4718B"/>
    <w:rsid w:val="00A516E4"/>
    <w:rsid w:val="00A9350E"/>
    <w:rsid w:val="00A97160"/>
    <w:rsid w:val="00AA66F7"/>
    <w:rsid w:val="00AB2CAE"/>
    <w:rsid w:val="00AD78CD"/>
    <w:rsid w:val="00AE03AE"/>
    <w:rsid w:val="00B21701"/>
    <w:rsid w:val="00B254B3"/>
    <w:rsid w:val="00B93F2B"/>
    <w:rsid w:val="00BB0239"/>
    <w:rsid w:val="00C15732"/>
    <w:rsid w:val="00C533B6"/>
    <w:rsid w:val="00CA2862"/>
    <w:rsid w:val="00CA3FB1"/>
    <w:rsid w:val="00CB053E"/>
    <w:rsid w:val="00CC45CA"/>
    <w:rsid w:val="00CD72BD"/>
    <w:rsid w:val="00CE77FF"/>
    <w:rsid w:val="00D0094E"/>
    <w:rsid w:val="00D02475"/>
    <w:rsid w:val="00D157FF"/>
    <w:rsid w:val="00D21048"/>
    <w:rsid w:val="00D26376"/>
    <w:rsid w:val="00D437DA"/>
    <w:rsid w:val="00D6264E"/>
    <w:rsid w:val="00D73A57"/>
    <w:rsid w:val="00D86781"/>
    <w:rsid w:val="00D91949"/>
    <w:rsid w:val="00D92FB8"/>
    <w:rsid w:val="00DB1338"/>
    <w:rsid w:val="00DD5CA1"/>
    <w:rsid w:val="00DD6FE8"/>
    <w:rsid w:val="00DE058F"/>
    <w:rsid w:val="00DE21BB"/>
    <w:rsid w:val="00E26BA9"/>
    <w:rsid w:val="00E37B2E"/>
    <w:rsid w:val="00E6793A"/>
    <w:rsid w:val="00E734D8"/>
    <w:rsid w:val="00E75AB3"/>
    <w:rsid w:val="00E75AD4"/>
    <w:rsid w:val="00EA1F07"/>
    <w:rsid w:val="00EF7307"/>
    <w:rsid w:val="00EF7F5D"/>
    <w:rsid w:val="00F153FE"/>
    <w:rsid w:val="00F56C07"/>
    <w:rsid w:val="00F57711"/>
    <w:rsid w:val="00F9790D"/>
    <w:rsid w:val="00FE1099"/>
    <w:rsid w:val="00FE6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A0B6D-57F4-4317-B66F-C5CCF45D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240"/>
    <w:pPr>
      <w:spacing w:after="200" w:line="276" w:lineRule="auto"/>
    </w:pPr>
    <w:rPr>
      <w:rFonts w:eastAsiaTheme="minorEastAsia"/>
      <w:lang w:eastAsia="es-MX"/>
    </w:rPr>
  </w:style>
  <w:style w:type="paragraph" w:styleId="Ttulo1">
    <w:name w:val="heading 1"/>
    <w:basedOn w:val="Normal"/>
    <w:next w:val="Normal"/>
    <w:link w:val="Ttulo1Car"/>
    <w:uiPriority w:val="9"/>
    <w:qFormat/>
    <w:rsid w:val="00FE62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FE6240"/>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240"/>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9"/>
    <w:rsid w:val="00FE6240"/>
    <w:rPr>
      <w:rFonts w:ascii="Arial" w:eastAsiaTheme="minorEastAsia" w:hAnsi="Arial" w:cs="Arial"/>
      <w:b/>
      <w:bCs/>
      <w:i/>
      <w:iCs/>
      <w:color w:val="000000"/>
      <w:sz w:val="28"/>
      <w:szCs w:val="28"/>
      <w:lang w:eastAsia="es-MX"/>
    </w:rPr>
  </w:style>
  <w:style w:type="paragraph" w:styleId="Encabezado">
    <w:name w:val="header"/>
    <w:basedOn w:val="Normal"/>
    <w:link w:val="EncabezadoCar"/>
    <w:uiPriority w:val="99"/>
    <w:unhideWhenUsed/>
    <w:rsid w:val="00FE6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240"/>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FE6240"/>
    <w:pPr>
      <w:ind w:left="720"/>
      <w:contextualSpacing/>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FE6240"/>
    <w:rPr>
      <w:rFonts w:eastAsiaTheme="minorEastAsia"/>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FE6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FE6240"/>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unhideWhenUsed/>
    <w:rsid w:val="00FE624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E6240"/>
    <w:rPr>
      <w:rFonts w:eastAsiaTheme="minorEastAsia"/>
      <w:sz w:val="20"/>
      <w:szCs w:val="20"/>
      <w:lang w:eastAsia="es-MX"/>
    </w:rPr>
  </w:style>
  <w:style w:type="character" w:styleId="Textoennegrita">
    <w:name w:val="Strong"/>
    <w:basedOn w:val="Fuentedeprrafopredeter"/>
    <w:uiPriority w:val="22"/>
    <w:qFormat/>
    <w:rsid w:val="00FE6240"/>
    <w:rPr>
      <w:b/>
      <w:bCs/>
    </w:rPr>
  </w:style>
  <w:style w:type="paragraph" w:customStyle="1" w:styleId="Default">
    <w:name w:val="Default"/>
    <w:rsid w:val="00FE624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E6240"/>
    <w:rPr>
      <w:color w:val="0563C1" w:themeColor="hyperlink"/>
      <w:u w:val="single"/>
    </w:rPr>
  </w:style>
  <w:style w:type="character" w:customStyle="1" w:styleId="TextodegloboCar">
    <w:name w:val="Texto de globo Car"/>
    <w:basedOn w:val="Fuentedeprrafopredeter"/>
    <w:link w:val="Textodeglobo"/>
    <w:uiPriority w:val="99"/>
    <w:semiHidden/>
    <w:rsid w:val="00FE6240"/>
    <w:rPr>
      <w:rFonts w:ascii="Segoe UI" w:eastAsiaTheme="minorEastAsia" w:hAnsi="Segoe UI" w:cs="Segoe UI"/>
      <w:sz w:val="18"/>
      <w:szCs w:val="18"/>
      <w:lang w:eastAsia="es-MX"/>
    </w:rPr>
  </w:style>
  <w:style w:type="paragraph" w:styleId="Textodeglobo">
    <w:name w:val="Balloon Text"/>
    <w:basedOn w:val="Normal"/>
    <w:link w:val="TextodegloboCar"/>
    <w:uiPriority w:val="99"/>
    <w:semiHidden/>
    <w:unhideWhenUsed/>
    <w:rsid w:val="00FE6240"/>
    <w:pPr>
      <w:spacing w:after="0" w:line="240" w:lineRule="auto"/>
    </w:pPr>
    <w:rPr>
      <w:rFonts w:ascii="Segoe UI" w:hAnsi="Segoe UI" w:cs="Segoe UI"/>
      <w:sz w:val="18"/>
      <w:szCs w:val="18"/>
    </w:rPr>
  </w:style>
  <w:style w:type="paragraph" w:styleId="Piedepgina">
    <w:name w:val="footer"/>
    <w:basedOn w:val="Normal"/>
    <w:link w:val="PiedepginaCar"/>
    <w:uiPriority w:val="99"/>
    <w:unhideWhenUsed/>
    <w:rsid w:val="00FE6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240"/>
    <w:rPr>
      <w:rFonts w:eastAsiaTheme="minorEastAsia"/>
      <w:lang w:eastAsia="es-MX"/>
    </w:rPr>
  </w:style>
  <w:style w:type="paragraph" w:styleId="Textoindependiente">
    <w:name w:val="Body Text"/>
    <w:basedOn w:val="Normal"/>
    <w:link w:val="TextoindependienteCar"/>
    <w:uiPriority w:val="1"/>
    <w:qFormat/>
    <w:rsid w:val="00FE6240"/>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FE6240"/>
    <w:rPr>
      <w:rFonts w:ascii="Arial" w:eastAsia="Arial" w:hAnsi="Arial" w:cs="Arial"/>
      <w:sz w:val="28"/>
      <w:szCs w:val="28"/>
      <w:lang w:val="en-US"/>
    </w:rPr>
  </w:style>
  <w:style w:type="paragraph" w:customStyle="1" w:styleId="TableParagraph">
    <w:name w:val="Table Paragraph"/>
    <w:basedOn w:val="Normal"/>
    <w:uiPriority w:val="1"/>
    <w:qFormat/>
    <w:rsid w:val="00FE6240"/>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FE6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unhideWhenUsed/>
    <w:qFormat/>
    <w:rsid w:val="00FE624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E6240"/>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
    <w:basedOn w:val="Fuentedeprrafopredeter"/>
    <w:link w:val="4GChar"/>
    <w:uiPriority w:val="99"/>
    <w:unhideWhenUsed/>
    <w:qFormat/>
    <w:rsid w:val="00FE6240"/>
    <w:rPr>
      <w:vertAlign w:val="superscript"/>
    </w:rPr>
  </w:style>
  <w:style w:type="paragraph" w:customStyle="1" w:styleId="Estilo">
    <w:name w:val="Estilo"/>
    <w:basedOn w:val="Sinespaciado"/>
    <w:link w:val="EstiloCar"/>
    <w:qFormat/>
    <w:rsid w:val="00FE6240"/>
    <w:pPr>
      <w:jc w:val="both"/>
    </w:pPr>
    <w:rPr>
      <w:rFonts w:ascii="Arial" w:hAnsi="Arial"/>
      <w:sz w:val="24"/>
    </w:rPr>
  </w:style>
  <w:style w:type="paragraph" w:styleId="Sinespaciado">
    <w:name w:val="No Spacing"/>
    <w:uiPriority w:val="1"/>
    <w:qFormat/>
    <w:rsid w:val="00FE6240"/>
    <w:pPr>
      <w:spacing w:after="0" w:line="240" w:lineRule="auto"/>
    </w:pPr>
    <w:rPr>
      <w:rFonts w:eastAsiaTheme="minorEastAsia"/>
      <w:lang w:eastAsia="es-MX"/>
    </w:rPr>
  </w:style>
  <w:style w:type="character" w:customStyle="1" w:styleId="EstiloCar">
    <w:name w:val="Estilo Car"/>
    <w:basedOn w:val="Fuentedeprrafopredeter"/>
    <w:link w:val="Estilo"/>
    <w:rsid w:val="00FE6240"/>
    <w:rPr>
      <w:rFonts w:ascii="Arial" w:eastAsiaTheme="minorEastAsia" w:hAnsi="Arial"/>
      <w:sz w:val="24"/>
      <w:lang w:eastAsia="es-MX"/>
    </w:rPr>
  </w:style>
  <w:style w:type="character" w:customStyle="1" w:styleId="apple-converted-space">
    <w:name w:val="apple-converted-space"/>
    <w:basedOn w:val="Fuentedeprrafopredeter"/>
    <w:rsid w:val="00FE6240"/>
  </w:style>
  <w:style w:type="character" w:styleId="Mencinsinresolver">
    <w:name w:val="Unresolved Mention"/>
    <w:basedOn w:val="Fuentedeprrafopredeter"/>
    <w:uiPriority w:val="99"/>
    <w:semiHidden/>
    <w:unhideWhenUsed/>
    <w:rsid w:val="00863552"/>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119D2"/>
    <w:pPr>
      <w:spacing w:after="0" w:line="240" w:lineRule="auto"/>
      <w:jc w:val="both"/>
    </w:pPr>
    <w:rPr>
      <w:rFonts w:eastAsiaTheme="minorHAnsi"/>
      <w:vertAlign w:val="superscript"/>
      <w:lang w:eastAsia="en-US"/>
    </w:rPr>
  </w:style>
  <w:style w:type="character" w:styleId="Refdenotaalfinal">
    <w:name w:val="endnote reference"/>
    <w:basedOn w:val="Fuentedeprrafopredeter"/>
    <w:uiPriority w:val="99"/>
    <w:semiHidden/>
    <w:unhideWhenUsed/>
    <w:rsid w:val="00B93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orena.si/wp-content/uploads/2019/03/DICTAMEN-DE-APROBACI%C3%93N-DE-PRESIDENTES-MUNICIPALES-1.pdf" TargetMode="External"/><Relationship Id="rId2" Type="http://schemas.openxmlformats.org/officeDocument/2006/relationships/hyperlink" Target="https://morena.si/wp-content/uploads/2019/02/FE-DE-ERRATAS-AGUASCALIENTES.pdf" TargetMode="External"/><Relationship Id="rId1" Type="http://schemas.openxmlformats.org/officeDocument/2006/relationships/hyperlink" Target="https://morena.si/wp-content/uploads/2019/01/CONVOCATORIA-Aguascalientes-Final2.pdf" TargetMode="External"/><Relationship Id="rId5" Type="http://schemas.openxmlformats.org/officeDocument/2006/relationships/hyperlink" Target="https://www.te.gob.mx/Informacion_juridiccional/sesion_publica/ejecutoria/sentencias/SUP-JDC-0304-2018.pdf" TargetMode="External"/><Relationship Id="rId4" Type="http://schemas.openxmlformats.org/officeDocument/2006/relationships/hyperlink" Target="https://morena.si/wp-content/uploads/2019/03/FE-DE-ERRATAS-DICTAMEN-DE-APROBACI%C3%93N-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647C-9EDB-4A63-B42D-94E2D602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9602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jose castro vieyra</cp:lastModifiedBy>
  <cp:revision>2</cp:revision>
  <cp:lastPrinted>2019-03-29T21:59:00Z</cp:lastPrinted>
  <dcterms:created xsi:type="dcterms:W3CDTF">2019-04-02T00:24:00Z</dcterms:created>
  <dcterms:modified xsi:type="dcterms:W3CDTF">2019-04-02T00:24:00Z</dcterms:modified>
</cp:coreProperties>
</file>